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0D" w:rsidRDefault="00D2390D" w:rsidP="00D2390D">
      <w:pPr>
        <w:pStyle w:val="Nagwek1"/>
        <w:spacing w:before="120"/>
        <w:jc w:val="right"/>
        <w:rPr>
          <w:rFonts w:ascii="Calibri" w:hAnsi="Calibri" w:cs="Tahoma"/>
          <w:color w:val="404040"/>
        </w:rPr>
      </w:pPr>
      <w:r>
        <w:rPr>
          <w:rFonts w:ascii="Calibri" w:hAnsi="Calibri" w:cs="Tahoma"/>
          <w:color w:val="404040"/>
        </w:rPr>
        <w:t>Informacja prasowa</w:t>
      </w:r>
    </w:p>
    <w:p w:rsidR="005B1722" w:rsidRDefault="00244B02" w:rsidP="00DF5F51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12</w:t>
      </w:r>
      <w:r w:rsidR="00DF5F51">
        <w:rPr>
          <w:rFonts w:ascii="Calibri" w:hAnsi="Calibri"/>
          <w:sz w:val="22"/>
          <w:szCs w:val="22"/>
        </w:rPr>
        <w:t>.</w:t>
      </w:r>
      <w:r w:rsidR="00A00411">
        <w:rPr>
          <w:rFonts w:ascii="Calibri" w:hAnsi="Calibri"/>
          <w:sz w:val="22"/>
          <w:szCs w:val="22"/>
        </w:rPr>
        <w:t>0</w:t>
      </w:r>
      <w:r w:rsidR="006C20C0">
        <w:rPr>
          <w:rFonts w:ascii="Calibri" w:hAnsi="Calibri"/>
          <w:sz w:val="22"/>
          <w:szCs w:val="22"/>
        </w:rPr>
        <w:t>5</w:t>
      </w:r>
      <w:r w:rsidR="00DF5F51">
        <w:rPr>
          <w:rFonts w:ascii="Calibri" w:hAnsi="Calibri"/>
          <w:sz w:val="22"/>
          <w:szCs w:val="22"/>
        </w:rPr>
        <w:t>.201</w:t>
      </w:r>
      <w:r w:rsidR="00A00411">
        <w:rPr>
          <w:rFonts w:ascii="Calibri" w:hAnsi="Calibri"/>
          <w:sz w:val="22"/>
          <w:szCs w:val="22"/>
        </w:rPr>
        <w:t>6</w:t>
      </w:r>
      <w:r w:rsidR="00DF5F51">
        <w:rPr>
          <w:rFonts w:ascii="Calibri" w:hAnsi="Calibri"/>
          <w:sz w:val="22"/>
          <w:szCs w:val="22"/>
        </w:rPr>
        <w:t>r.</w:t>
      </w:r>
    </w:p>
    <w:p w:rsidR="00DF5F51" w:rsidRPr="00E95E8B" w:rsidRDefault="00DF5F51" w:rsidP="00DF5F51">
      <w:pPr>
        <w:jc w:val="right"/>
        <w:rPr>
          <w:rFonts w:ascii="Calibri" w:hAnsi="Calibri"/>
          <w:sz w:val="10"/>
          <w:szCs w:val="22"/>
        </w:rPr>
      </w:pPr>
    </w:p>
    <w:p w:rsidR="00DF5F51" w:rsidRPr="00E95E8B" w:rsidRDefault="00DF5F51" w:rsidP="00DF5F51">
      <w:pPr>
        <w:jc w:val="right"/>
        <w:rPr>
          <w:rFonts w:ascii="Calibri" w:hAnsi="Calibri"/>
          <w:sz w:val="10"/>
          <w:szCs w:val="22"/>
        </w:rPr>
      </w:pPr>
    </w:p>
    <w:p w:rsidR="00E2706C" w:rsidRPr="00E2706C" w:rsidRDefault="00E2706C" w:rsidP="00DF5F51">
      <w:pPr>
        <w:jc w:val="right"/>
        <w:rPr>
          <w:rFonts w:ascii="Calibri" w:hAnsi="Calibri"/>
          <w:szCs w:val="22"/>
        </w:rPr>
      </w:pPr>
    </w:p>
    <w:p w:rsidR="00DF5F51" w:rsidRPr="00AD3614" w:rsidRDefault="006C20C0" w:rsidP="00DF5F51">
      <w:pPr>
        <w:rPr>
          <w:rFonts w:ascii="Calibri" w:hAnsi="Calibri"/>
          <w:color w:val="595959" w:themeColor="text1" w:themeTint="A6"/>
          <w:sz w:val="28"/>
          <w:szCs w:val="28"/>
        </w:rPr>
      </w:pPr>
      <w:r w:rsidRPr="00AD3614">
        <w:rPr>
          <w:rFonts w:ascii="Calibri" w:hAnsi="Calibri"/>
          <w:color w:val="595959" w:themeColor="text1" w:themeTint="A6"/>
          <w:sz w:val="28"/>
          <w:szCs w:val="28"/>
        </w:rPr>
        <w:t xml:space="preserve">Wyniki </w:t>
      </w:r>
      <w:r w:rsidR="00247D11" w:rsidRPr="00AD3614">
        <w:rPr>
          <w:rFonts w:ascii="Calibri" w:hAnsi="Calibri"/>
          <w:color w:val="595959" w:themeColor="text1" w:themeTint="A6"/>
          <w:sz w:val="28"/>
          <w:szCs w:val="28"/>
        </w:rPr>
        <w:t>Grup</w:t>
      </w:r>
      <w:r w:rsidRPr="00AD3614">
        <w:rPr>
          <w:rFonts w:ascii="Calibri" w:hAnsi="Calibri"/>
          <w:color w:val="595959" w:themeColor="text1" w:themeTint="A6"/>
          <w:sz w:val="28"/>
          <w:szCs w:val="28"/>
        </w:rPr>
        <w:t>y</w:t>
      </w:r>
      <w:r w:rsidR="00247D11" w:rsidRPr="00AD3614">
        <w:rPr>
          <w:rFonts w:ascii="Calibri" w:hAnsi="Calibri"/>
          <w:color w:val="595959" w:themeColor="text1" w:themeTint="A6"/>
          <w:sz w:val="28"/>
          <w:szCs w:val="28"/>
        </w:rPr>
        <w:t xml:space="preserve"> Kapitałow</w:t>
      </w:r>
      <w:r w:rsidRPr="00AD3614">
        <w:rPr>
          <w:rFonts w:ascii="Calibri" w:hAnsi="Calibri"/>
          <w:color w:val="595959" w:themeColor="text1" w:themeTint="A6"/>
          <w:sz w:val="28"/>
          <w:szCs w:val="28"/>
        </w:rPr>
        <w:t>ej</w:t>
      </w:r>
      <w:r w:rsidR="00247D11" w:rsidRPr="00AD3614">
        <w:rPr>
          <w:rFonts w:ascii="Calibri" w:hAnsi="Calibri"/>
          <w:color w:val="595959" w:themeColor="text1" w:themeTint="A6"/>
          <w:sz w:val="28"/>
          <w:szCs w:val="28"/>
        </w:rPr>
        <w:t xml:space="preserve"> LUG S.A.</w:t>
      </w:r>
      <w:r w:rsidRPr="00AD3614">
        <w:rPr>
          <w:rFonts w:ascii="Calibri" w:hAnsi="Calibri"/>
          <w:color w:val="595959" w:themeColor="text1" w:themeTint="A6"/>
          <w:sz w:val="28"/>
          <w:szCs w:val="28"/>
        </w:rPr>
        <w:t xml:space="preserve"> za </w:t>
      </w:r>
      <w:r w:rsidR="00244B02">
        <w:rPr>
          <w:rFonts w:ascii="Calibri" w:hAnsi="Calibri"/>
          <w:color w:val="595959" w:themeColor="text1" w:themeTint="A6"/>
          <w:sz w:val="28"/>
          <w:szCs w:val="28"/>
        </w:rPr>
        <w:t>1Q’</w:t>
      </w:r>
      <w:r w:rsidRPr="00AD3614">
        <w:rPr>
          <w:rFonts w:ascii="Calibri" w:hAnsi="Calibri"/>
          <w:color w:val="595959" w:themeColor="text1" w:themeTint="A6"/>
          <w:sz w:val="28"/>
          <w:szCs w:val="28"/>
        </w:rPr>
        <w:t>201</w:t>
      </w:r>
      <w:r w:rsidR="00244B02">
        <w:rPr>
          <w:rFonts w:ascii="Calibri" w:hAnsi="Calibri"/>
          <w:color w:val="595959" w:themeColor="text1" w:themeTint="A6"/>
          <w:sz w:val="28"/>
          <w:szCs w:val="28"/>
        </w:rPr>
        <w:t>6</w:t>
      </w:r>
      <w:r w:rsidRPr="00AD3614">
        <w:rPr>
          <w:rFonts w:ascii="Calibri" w:hAnsi="Calibri"/>
          <w:color w:val="595959" w:themeColor="text1" w:themeTint="A6"/>
          <w:sz w:val="28"/>
          <w:szCs w:val="28"/>
        </w:rPr>
        <w:t xml:space="preserve"> rok</w:t>
      </w:r>
      <w:r w:rsidR="00247D11" w:rsidRPr="00AD3614">
        <w:rPr>
          <w:rFonts w:ascii="Calibri" w:hAnsi="Calibri"/>
          <w:color w:val="595959" w:themeColor="text1" w:themeTint="A6"/>
          <w:sz w:val="28"/>
          <w:szCs w:val="28"/>
        </w:rPr>
        <w:t xml:space="preserve">: </w:t>
      </w:r>
    </w:p>
    <w:p w:rsidR="00247D11" w:rsidRPr="00AD3614" w:rsidRDefault="00244B02" w:rsidP="00AD3614">
      <w:pPr>
        <w:jc w:val="both"/>
        <w:rPr>
          <w:rFonts w:ascii="Calibri" w:hAnsi="Calibri"/>
          <w:b/>
          <w:sz w:val="34"/>
          <w:szCs w:val="34"/>
        </w:rPr>
      </w:pPr>
      <w:r>
        <w:rPr>
          <w:rFonts w:ascii="Calibri" w:hAnsi="Calibri"/>
          <w:b/>
          <w:sz w:val="34"/>
          <w:szCs w:val="34"/>
        </w:rPr>
        <w:t>Wstrzymane inwestycje obniżyły wyniki LUG. Kwiecień przyniósł odbicie.</w:t>
      </w:r>
    </w:p>
    <w:p w:rsidR="00FD5415" w:rsidRDefault="00FD5415" w:rsidP="00DF5F51">
      <w:pPr>
        <w:rPr>
          <w:rFonts w:ascii="Calibri" w:hAnsi="Calibri"/>
          <w:b/>
          <w:noProof/>
          <w:sz w:val="28"/>
          <w:szCs w:val="22"/>
        </w:rPr>
      </w:pPr>
    </w:p>
    <w:p w:rsidR="00247D11" w:rsidRDefault="00247D11" w:rsidP="00DF5F51">
      <w:pPr>
        <w:rPr>
          <w:rFonts w:ascii="Calibri" w:hAnsi="Calibri"/>
          <w:b/>
          <w:noProof/>
          <w:sz w:val="28"/>
          <w:szCs w:val="22"/>
        </w:rPr>
      </w:pPr>
    </w:p>
    <w:p w:rsidR="00247D11" w:rsidRPr="007B2AD5" w:rsidRDefault="00247D11" w:rsidP="00DF5F51">
      <w:pPr>
        <w:rPr>
          <w:rFonts w:ascii="Calibri" w:hAnsi="Calibri"/>
          <w:noProof/>
          <w:sz w:val="22"/>
          <w:szCs w:val="22"/>
        </w:rPr>
      </w:pPr>
      <w:r w:rsidRPr="007B2AD5">
        <w:rPr>
          <w:rFonts w:ascii="Calibri" w:hAnsi="Calibri"/>
          <w:noProof/>
          <w:sz w:val="22"/>
          <w:szCs w:val="22"/>
        </w:rPr>
        <w:t xml:space="preserve">Zielona Góra – Grupa Kapitałowa LUG S.A. (NewConnect: LUG) opublikowała </w:t>
      </w:r>
      <w:r w:rsidR="006C20C0">
        <w:rPr>
          <w:rFonts w:ascii="Calibri" w:hAnsi="Calibri"/>
          <w:noProof/>
          <w:sz w:val="22"/>
          <w:szCs w:val="22"/>
        </w:rPr>
        <w:t xml:space="preserve">skonsolidowany raport </w:t>
      </w:r>
      <w:r w:rsidR="00244B02">
        <w:rPr>
          <w:rFonts w:ascii="Calibri" w:hAnsi="Calibri"/>
          <w:noProof/>
          <w:sz w:val="22"/>
          <w:szCs w:val="22"/>
        </w:rPr>
        <w:t>Grupy Kapitałowej LUG S.A.</w:t>
      </w:r>
      <w:r w:rsidR="006C20C0">
        <w:rPr>
          <w:rFonts w:ascii="Calibri" w:hAnsi="Calibri"/>
          <w:noProof/>
          <w:sz w:val="22"/>
          <w:szCs w:val="22"/>
        </w:rPr>
        <w:t xml:space="preserve"> za </w:t>
      </w:r>
      <w:r w:rsidR="00244B02">
        <w:rPr>
          <w:rFonts w:ascii="Calibri" w:hAnsi="Calibri"/>
          <w:noProof/>
          <w:sz w:val="22"/>
          <w:szCs w:val="22"/>
        </w:rPr>
        <w:t>1Q’</w:t>
      </w:r>
      <w:r w:rsidR="006C20C0">
        <w:rPr>
          <w:rFonts w:ascii="Calibri" w:hAnsi="Calibri"/>
          <w:noProof/>
          <w:sz w:val="22"/>
          <w:szCs w:val="22"/>
        </w:rPr>
        <w:t>201</w:t>
      </w:r>
      <w:r w:rsidR="00244B02">
        <w:rPr>
          <w:rFonts w:ascii="Calibri" w:hAnsi="Calibri"/>
          <w:noProof/>
          <w:sz w:val="22"/>
          <w:szCs w:val="22"/>
        </w:rPr>
        <w:t>6</w:t>
      </w:r>
      <w:r w:rsidR="006C20C0">
        <w:rPr>
          <w:rFonts w:ascii="Calibri" w:hAnsi="Calibri"/>
          <w:noProof/>
          <w:sz w:val="22"/>
          <w:szCs w:val="22"/>
        </w:rPr>
        <w:t xml:space="preserve"> rok</w:t>
      </w:r>
      <w:r w:rsidRPr="007B2AD5">
        <w:rPr>
          <w:rFonts w:ascii="Calibri" w:hAnsi="Calibri"/>
          <w:noProof/>
          <w:sz w:val="22"/>
          <w:szCs w:val="22"/>
        </w:rPr>
        <w:t>. Kluczowe informacje:</w:t>
      </w:r>
    </w:p>
    <w:p w:rsidR="00247D11" w:rsidRPr="007B2AD5" w:rsidRDefault="00247D11" w:rsidP="00DF5F51">
      <w:pPr>
        <w:rPr>
          <w:rFonts w:ascii="Calibri" w:hAnsi="Calibri"/>
          <w:noProof/>
          <w:sz w:val="22"/>
          <w:szCs w:val="22"/>
        </w:rPr>
      </w:pPr>
    </w:p>
    <w:p w:rsidR="00D34946" w:rsidRPr="007B2AD5" w:rsidRDefault="00D34946" w:rsidP="008A2022">
      <w:pPr>
        <w:pStyle w:val="Akapitzlist"/>
        <w:numPr>
          <w:ilvl w:val="0"/>
          <w:numId w:val="3"/>
        </w:numPr>
        <w:spacing w:after="0"/>
        <w:ind w:left="993"/>
        <w:jc w:val="both"/>
      </w:pPr>
      <w:r w:rsidRPr="007B2AD5">
        <w:rPr>
          <w:b/>
        </w:rPr>
        <w:t>skonsolidowane przychody ze sprzedaży</w:t>
      </w:r>
      <w:r w:rsidRPr="007B2AD5">
        <w:t xml:space="preserve"> </w:t>
      </w:r>
      <w:r w:rsidR="006C20C0">
        <w:rPr>
          <w:b/>
        </w:rPr>
        <w:t xml:space="preserve">za </w:t>
      </w:r>
      <w:r w:rsidR="00244B02">
        <w:rPr>
          <w:b/>
        </w:rPr>
        <w:t>1Q’</w:t>
      </w:r>
      <w:r w:rsidR="006C20C0">
        <w:rPr>
          <w:b/>
        </w:rPr>
        <w:t>201</w:t>
      </w:r>
      <w:r w:rsidR="00244B02">
        <w:rPr>
          <w:b/>
        </w:rPr>
        <w:t>6</w:t>
      </w:r>
      <w:r w:rsidR="006C20C0">
        <w:rPr>
          <w:b/>
        </w:rPr>
        <w:t xml:space="preserve"> rok</w:t>
      </w:r>
      <w:r w:rsidR="00244B02">
        <w:rPr>
          <w:b/>
        </w:rPr>
        <w:t>u</w:t>
      </w:r>
      <w:r w:rsidRPr="007B2AD5">
        <w:t xml:space="preserve"> wyniosły </w:t>
      </w:r>
      <w:r w:rsidR="00244B02">
        <w:t>22 048,82</w:t>
      </w:r>
      <w:r w:rsidR="006C20C0">
        <w:t xml:space="preserve"> </w:t>
      </w:r>
      <w:r w:rsidRPr="007B2AD5">
        <w:t xml:space="preserve">tys. zł, </w:t>
      </w:r>
      <w:r w:rsidR="008A2022" w:rsidRPr="007B2AD5">
        <w:br/>
      </w:r>
      <w:r w:rsidR="006C20C0">
        <w:t>spadek</w:t>
      </w:r>
      <w:r w:rsidRPr="007B2AD5">
        <w:t xml:space="preserve"> o </w:t>
      </w:r>
      <w:r w:rsidR="00244B02">
        <w:t>14,05</w:t>
      </w:r>
      <w:r w:rsidRPr="007B2AD5">
        <w:t xml:space="preserve">% </w:t>
      </w:r>
      <w:r w:rsidR="00C02204" w:rsidRPr="007B2AD5">
        <w:t>r/r</w:t>
      </w:r>
      <w:r w:rsidRPr="007B2AD5">
        <w:t xml:space="preserve">; </w:t>
      </w:r>
    </w:p>
    <w:p w:rsidR="00830F20" w:rsidRPr="007B2AD5" w:rsidRDefault="00830F20" w:rsidP="008A2022">
      <w:pPr>
        <w:pStyle w:val="Akapitzlist"/>
        <w:numPr>
          <w:ilvl w:val="0"/>
          <w:numId w:val="3"/>
        </w:numPr>
        <w:ind w:left="993"/>
        <w:rPr>
          <w:noProof/>
        </w:rPr>
      </w:pPr>
      <w:r w:rsidRPr="007B2AD5">
        <w:rPr>
          <w:b/>
        </w:rPr>
        <w:t xml:space="preserve">struktura przychodów ze sprzedaży </w:t>
      </w:r>
      <w:r w:rsidR="006C20C0">
        <w:rPr>
          <w:b/>
        </w:rPr>
        <w:t xml:space="preserve">w </w:t>
      </w:r>
      <w:r w:rsidR="00244B02">
        <w:rPr>
          <w:b/>
        </w:rPr>
        <w:t>1Q’</w:t>
      </w:r>
      <w:r w:rsidRPr="007B2AD5">
        <w:rPr>
          <w:b/>
        </w:rPr>
        <w:t>201</w:t>
      </w:r>
      <w:r w:rsidR="00244B02">
        <w:rPr>
          <w:b/>
        </w:rPr>
        <w:t>6 roku</w:t>
      </w:r>
      <w:r w:rsidRPr="007B2AD5">
        <w:rPr>
          <w:b/>
        </w:rPr>
        <w:t xml:space="preserve"> </w:t>
      </w:r>
      <w:r w:rsidR="006C20C0">
        <w:t>wynosiła: 4</w:t>
      </w:r>
      <w:r w:rsidR="00244B02">
        <w:t>2,6</w:t>
      </w:r>
      <w:r w:rsidRPr="007B2AD5">
        <w:t>% - kraj, 5</w:t>
      </w:r>
      <w:r w:rsidR="00244B02">
        <w:t>7,4</w:t>
      </w:r>
      <w:r w:rsidRPr="007B2AD5">
        <w:t>% - eksport;</w:t>
      </w:r>
    </w:p>
    <w:p w:rsidR="00C02204" w:rsidRPr="00244B02" w:rsidRDefault="00C02204" w:rsidP="008A2022">
      <w:pPr>
        <w:pStyle w:val="Akapitzlist"/>
        <w:numPr>
          <w:ilvl w:val="0"/>
          <w:numId w:val="3"/>
        </w:numPr>
        <w:ind w:left="993"/>
        <w:rPr>
          <w:noProof/>
        </w:rPr>
      </w:pPr>
      <w:r w:rsidRPr="007B2AD5">
        <w:rPr>
          <w:b/>
          <w:noProof/>
        </w:rPr>
        <w:t xml:space="preserve">zysk ze sprzedaży brutto </w:t>
      </w:r>
      <w:r w:rsidR="00244B02">
        <w:rPr>
          <w:b/>
          <w:noProof/>
        </w:rPr>
        <w:t xml:space="preserve">w </w:t>
      </w:r>
      <w:r w:rsidR="00244B02">
        <w:rPr>
          <w:rFonts w:cs="Calibri"/>
          <w:b/>
        </w:rPr>
        <w:t>1Q’</w:t>
      </w:r>
      <w:r w:rsidR="00244B02" w:rsidRPr="007B2AD5">
        <w:rPr>
          <w:rFonts w:cs="Calibri"/>
          <w:b/>
        </w:rPr>
        <w:t>201</w:t>
      </w:r>
      <w:r w:rsidR="00244B02">
        <w:rPr>
          <w:rFonts w:cs="Calibri"/>
          <w:b/>
        </w:rPr>
        <w:t>6 roku</w:t>
      </w:r>
      <w:r w:rsidR="00244B02" w:rsidRPr="007B2AD5">
        <w:rPr>
          <w:rFonts w:cs="Calibri"/>
          <w:b/>
        </w:rPr>
        <w:t xml:space="preserve"> </w:t>
      </w:r>
      <w:r w:rsidRPr="007B2AD5">
        <w:rPr>
          <w:noProof/>
        </w:rPr>
        <w:t xml:space="preserve">wyniósł </w:t>
      </w:r>
      <w:r w:rsidR="00244B02">
        <w:rPr>
          <w:rFonts w:cs="Calibri"/>
        </w:rPr>
        <w:t>7 708,57</w:t>
      </w:r>
      <w:r w:rsidRPr="007B2AD5">
        <w:rPr>
          <w:rFonts w:cs="Calibri"/>
        </w:rPr>
        <w:t xml:space="preserve"> tys. zł, </w:t>
      </w:r>
      <w:r w:rsidR="00244B02">
        <w:rPr>
          <w:rFonts w:cs="Calibri"/>
        </w:rPr>
        <w:t>spadek o 10,04</w:t>
      </w:r>
      <w:r w:rsidRPr="007B2AD5">
        <w:rPr>
          <w:rFonts w:cs="Calibri"/>
        </w:rPr>
        <w:t>% r/r;</w:t>
      </w:r>
    </w:p>
    <w:p w:rsidR="00244B02" w:rsidRPr="00244B02" w:rsidRDefault="00244B02" w:rsidP="008A2022">
      <w:pPr>
        <w:pStyle w:val="Akapitzlist"/>
        <w:numPr>
          <w:ilvl w:val="0"/>
          <w:numId w:val="3"/>
        </w:numPr>
        <w:ind w:left="993"/>
        <w:rPr>
          <w:noProof/>
        </w:rPr>
      </w:pPr>
      <w:r>
        <w:rPr>
          <w:b/>
          <w:noProof/>
        </w:rPr>
        <w:t xml:space="preserve">marża na sprzedaży brutto w 1Q’2016 roku </w:t>
      </w:r>
      <w:r w:rsidRPr="00244B02">
        <w:rPr>
          <w:noProof/>
        </w:rPr>
        <w:t>wyn</w:t>
      </w:r>
      <w:r>
        <w:rPr>
          <w:noProof/>
        </w:rPr>
        <w:t>osiła 34,96% wobec 33,40% przed rokiem;</w:t>
      </w:r>
    </w:p>
    <w:p w:rsidR="00244B02" w:rsidRPr="00244B02" w:rsidRDefault="00244B02" w:rsidP="00244B02">
      <w:pPr>
        <w:pStyle w:val="Akapitzlist"/>
        <w:numPr>
          <w:ilvl w:val="0"/>
          <w:numId w:val="3"/>
        </w:numPr>
        <w:spacing w:after="0"/>
        <w:ind w:left="992" w:hanging="357"/>
        <w:rPr>
          <w:b/>
          <w:noProof/>
        </w:rPr>
      </w:pPr>
      <w:r>
        <w:rPr>
          <w:rFonts w:cs="Calibri"/>
          <w:b/>
        </w:rPr>
        <w:t>wynik</w:t>
      </w:r>
      <w:r w:rsidR="00D35A70">
        <w:rPr>
          <w:rFonts w:cs="Calibri"/>
          <w:b/>
        </w:rPr>
        <w:t xml:space="preserve"> netto </w:t>
      </w:r>
      <w:r>
        <w:rPr>
          <w:rFonts w:cs="Calibri"/>
          <w:b/>
        </w:rPr>
        <w:t>w</w:t>
      </w:r>
      <w:r w:rsidR="00D35A70">
        <w:rPr>
          <w:rFonts w:cs="Calibri"/>
          <w:b/>
        </w:rPr>
        <w:t xml:space="preserve"> </w:t>
      </w:r>
      <w:r>
        <w:rPr>
          <w:rFonts w:cs="Calibri"/>
          <w:b/>
        </w:rPr>
        <w:t>1Q’</w:t>
      </w:r>
      <w:r w:rsidR="00830F20" w:rsidRPr="007B2AD5">
        <w:rPr>
          <w:rFonts w:cs="Calibri"/>
          <w:b/>
        </w:rPr>
        <w:t>201</w:t>
      </w:r>
      <w:r>
        <w:rPr>
          <w:rFonts w:cs="Calibri"/>
          <w:b/>
        </w:rPr>
        <w:t>6</w:t>
      </w:r>
      <w:r w:rsidR="00D35A70">
        <w:rPr>
          <w:rFonts w:cs="Calibri"/>
          <w:b/>
        </w:rPr>
        <w:t xml:space="preserve"> rok</w:t>
      </w:r>
      <w:r>
        <w:rPr>
          <w:rFonts w:cs="Calibri"/>
          <w:b/>
        </w:rPr>
        <w:t>u</w:t>
      </w:r>
      <w:r w:rsidR="00830F20" w:rsidRPr="007B2AD5">
        <w:rPr>
          <w:rFonts w:cs="Calibri"/>
          <w:b/>
        </w:rPr>
        <w:t xml:space="preserve"> </w:t>
      </w:r>
      <w:r w:rsidR="00830F20" w:rsidRPr="007B2AD5">
        <w:rPr>
          <w:rFonts w:cs="Calibri"/>
        </w:rPr>
        <w:t xml:space="preserve">wyniósł </w:t>
      </w:r>
      <w:r>
        <w:rPr>
          <w:rFonts w:cs="Calibri"/>
        </w:rPr>
        <w:t>-727,74 tys. zł</w:t>
      </w:r>
    </w:p>
    <w:p w:rsidR="00244B02" w:rsidRDefault="00244B02" w:rsidP="00244B02">
      <w:pPr>
        <w:pStyle w:val="Akapitzlist"/>
        <w:spacing w:after="0"/>
        <w:ind w:left="992"/>
        <w:rPr>
          <w:b/>
          <w:noProof/>
        </w:rPr>
      </w:pPr>
    </w:p>
    <w:p w:rsidR="00244B02" w:rsidRDefault="00244B02" w:rsidP="00244B02">
      <w:pPr>
        <w:rPr>
          <w:b/>
          <w:noProof/>
        </w:rPr>
      </w:pPr>
    </w:p>
    <w:p w:rsidR="00247D11" w:rsidRPr="009D2D2C" w:rsidRDefault="00317B6E" w:rsidP="00244B02">
      <w:pPr>
        <w:rPr>
          <w:rFonts w:asciiTheme="minorHAnsi" w:hAnsiTheme="minorHAnsi"/>
          <w:b/>
          <w:noProof/>
          <w:sz w:val="22"/>
        </w:rPr>
      </w:pPr>
      <w:r w:rsidRPr="009D2D2C">
        <w:rPr>
          <w:rFonts w:asciiTheme="minorHAnsi" w:hAnsiTheme="minorHAnsi"/>
          <w:b/>
          <w:noProof/>
          <w:sz w:val="22"/>
        </w:rPr>
        <w:t xml:space="preserve">Podsumowanie </w:t>
      </w:r>
    </w:p>
    <w:p w:rsidR="009D2D2C" w:rsidRPr="009D2D2C" w:rsidRDefault="009D2D2C" w:rsidP="00244B02">
      <w:pPr>
        <w:rPr>
          <w:b/>
          <w:noProof/>
          <w:sz w:val="12"/>
        </w:rPr>
      </w:pPr>
    </w:p>
    <w:p w:rsidR="009D2D2C" w:rsidRDefault="009D2D2C" w:rsidP="009D2D2C">
      <w:pPr>
        <w:autoSpaceDE w:val="0"/>
        <w:autoSpaceDN w:val="0"/>
        <w:adjustRightInd w:val="0"/>
        <w:jc w:val="both"/>
        <w:rPr>
          <w:rFonts w:asciiTheme="minorHAnsi" w:hAnsiTheme="minorHAnsi" w:cs="Palatino Linotype"/>
          <w:sz w:val="22"/>
        </w:rPr>
      </w:pPr>
      <w:r w:rsidRPr="009D2D2C">
        <w:rPr>
          <w:rFonts w:asciiTheme="minorHAnsi" w:hAnsiTheme="minorHAnsi"/>
          <w:sz w:val="22"/>
        </w:rPr>
        <w:t xml:space="preserve">Pierwszy kwartał 2016 roku był dla segmentu budowlanego, a w konsekwencji również dla Grupy Kapitałowej LUG S.A. okresem niepewności. Właśnie niepewność zdominowała nastroje inwestorów, którzy wstrzymali realizację wielu inwestycji znajdujących się w portfelu zamówień LUG. Niesprecyzowane plany dotyczące obciążeń podatkowych w Polsce  oraz umiarkowanie korzystna koniunktura na rynkach zagranicznych sprzyjały wzrostowi awersji do ryzyka i ograniczaniu wydatków inwestycyjnych. Badania pokazują, że niewiele firm ma </w:t>
      </w:r>
      <w:r w:rsidRPr="009D2D2C">
        <w:rPr>
          <w:rFonts w:asciiTheme="minorHAnsi" w:hAnsiTheme="minorHAnsi" w:cs="Palatino Linotype"/>
          <w:sz w:val="22"/>
        </w:rPr>
        <w:t>w planach dynamiczny rozwój, a w planowanych scenariuszach dominują stabilizacja i stopniowy wzrost, co nie stymuluje segmentu inwestycji.</w:t>
      </w:r>
    </w:p>
    <w:p w:rsidR="009D2D2C" w:rsidRDefault="009D2D2C" w:rsidP="009D2D2C">
      <w:pPr>
        <w:autoSpaceDE w:val="0"/>
        <w:autoSpaceDN w:val="0"/>
        <w:adjustRightInd w:val="0"/>
        <w:jc w:val="both"/>
        <w:rPr>
          <w:rFonts w:asciiTheme="minorHAnsi" w:hAnsiTheme="minorHAnsi" w:cs="Palatino Linotype"/>
          <w:sz w:val="22"/>
        </w:rPr>
      </w:pPr>
    </w:p>
    <w:p w:rsidR="009D2D2C" w:rsidRDefault="009D2D2C" w:rsidP="009D2D2C">
      <w:pPr>
        <w:autoSpaceDE w:val="0"/>
        <w:autoSpaceDN w:val="0"/>
        <w:adjustRightInd w:val="0"/>
        <w:jc w:val="both"/>
        <w:rPr>
          <w:rFonts w:asciiTheme="minorHAnsi" w:hAnsiTheme="minorHAnsi" w:cs="Palatino Linotype"/>
          <w:sz w:val="22"/>
        </w:rPr>
      </w:pPr>
      <w:r>
        <w:rPr>
          <w:rFonts w:asciiTheme="minorHAnsi" w:hAnsiTheme="minorHAnsi" w:cs="Palatino Linotype"/>
          <w:sz w:val="22"/>
        </w:rPr>
        <w:t xml:space="preserve">- </w:t>
      </w:r>
      <w:r w:rsidRPr="009D2D2C">
        <w:rPr>
          <w:rFonts w:asciiTheme="minorHAnsi" w:hAnsiTheme="minorHAnsi" w:cs="Palatino Linotype"/>
          <w:i/>
          <w:sz w:val="22"/>
        </w:rPr>
        <w:t xml:space="preserve">W tych okolicznościach nie udało nam się wypracować satysfakcjonujących wyników. </w:t>
      </w:r>
      <w:r w:rsidRPr="009D2D2C">
        <w:rPr>
          <w:rFonts w:asciiTheme="minorHAnsi" w:hAnsiTheme="minorHAnsi" w:cs="Palatino Linotype"/>
          <w:i/>
          <w:sz w:val="22"/>
        </w:rPr>
        <w:t>Jednak</w:t>
      </w:r>
      <w:r w:rsidRPr="009D2D2C">
        <w:rPr>
          <w:rFonts w:asciiTheme="minorHAnsi" w:hAnsiTheme="minorHAnsi" w:cs="Palatino Linotype"/>
          <w:i/>
          <w:sz w:val="22"/>
        </w:rPr>
        <w:t xml:space="preserve"> na podstawie wyników zrealizowanych w kwietniu br. możemy ocenić, że osłabienie nastrojów w branży budowlanej miało charakter przejściowy, a II kwartał może przynieść odwrócenie negatywnego trendu</w:t>
      </w:r>
      <w:r w:rsidRPr="009D2D2C">
        <w:rPr>
          <w:rFonts w:asciiTheme="minorHAnsi" w:hAnsiTheme="minorHAnsi" w:cs="Palatino Linotype"/>
          <w:i/>
          <w:sz w:val="22"/>
        </w:rPr>
        <w:t xml:space="preserve"> </w:t>
      </w:r>
      <w:r>
        <w:rPr>
          <w:rFonts w:asciiTheme="minorHAnsi" w:hAnsiTheme="minorHAnsi" w:cs="Palatino Linotype"/>
          <w:i/>
          <w:sz w:val="22"/>
        </w:rPr>
        <w:br/>
      </w:r>
      <w:r w:rsidRPr="009D2D2C">
        <w:rPr>
          <w:rFonts w:asciiTheme="minorHAnsi" w:hAnsiTheme="minorHAnsi" w:cs="Palatino Linotype"/>
          <w:i/>
          <w:sz w:val="22"/>
        </w:rPr>
        <w:t>z pierwszych tygodni 2016 roku</w:t>
      </w:r>
      <w:r>
        <w:rPr>
          <w:rFonts w:asciiTheme="minorHAnsi" w:hAnsiTheme="minorHAnsi" w:cs="Palatino Linotype"/>
          <w:sz w:val="22"/>
        </w:rPr>
        <w:t xml:space="preserve"> – komentuje Ryszard Wtorkowski, Prezes Zarządu LUG S.A.</w:t>
      </w:r>
    </w:p>
    <w:p w:rsidR="009D2D2C" w:rsidRDefault="009D2D2C" w:rsidP="009D2D2C">
      <w:pPr>
        <w:autoSpaceDE w:val="0"/>
        <w:autoSpaceDN w:val="0"/>
        <w:adjustRightInd w:val="0"/>
        <w:jc w:val="both"/>
        <w:rPr>
          <w:rFonts w:asciiTheme="minorHAnsi" w:hAnsiTheme="minorHAnsi" w:cs="Palatino Linotype"/>
          <w:sz w:val="22"/>
        </w:rPr>
      </w:pPr>
    </w:p>
    <w:p w:rsidR="009D2D2C" w:rsidRDefault="009D2D2C" w:rsidP="009D2D2C">
      <w:pPr>
        <w:autoSpaceDE w:val="0"/>
        <w:autoSpaceDN w:val="0"/>
        <w:adjustRightInd w:val="0"/>
        <w:jc w:val="both"/>
        <w:rPr>
          <w:rFonts w:asciiTheme="minorHAnsi" w:hAnsiTheme="minorHAnsi" w:cs="Palatino Linotype"/>
          <w:sz w:val="22"/>
        </w:rPr>
      </w:pPr>
      <w:r w:rsidRPr="009D2D2C">
        <w:rPr>
          <w:rFonts w:asciiTheme="minorHAnsi" w:hAnsiTheme="minorHAnsi" w:cs="Palatino Linotype"/>
          <w:sz w:val="22"/>
        </w:rPr>
        <w:t xml:space="preserve">Skonsolidowane przychody ze sprzedaży </w:t>
      </w:r>
      <w:r>
        <w:rPr>
          <w:rFonts w:asciiTheme="minorHAnsi" w:hAnsiTheme="minorHAnsi" w:cs="Palatino Linotype"/>
          <w:sz w:val="22"/>
        </w:rPr>
        <w:t xml:space="preserve">Grupy Kapitałowej LUGG S.A. </w:t>
      </w:r>
      <w:r w:rsidRPr="009D2D2C">
        <w:rPr>
          <w:rFonts w:asciiTheme="minorHAnsi" w:hAnsiTheme="minorHAnsi" w:cs="Palatino Linotype"/>
          <w:sz w:val="22"/>
        </w:rPr>
        <w:t xml:space="preserve">osiągnęły </w:t>
      </w:r>
      <w:r>
        <w:rPr>
          <w:rFonts w:asciiTheme="minorHAnsi" w:hAnsiTheme="minorHAnsi" w:cs="Palatino Linotype"/>
          <w:sz w:val="22"/>
        </w:rPr>
        <w:t xml:space="preserve">w I kwartale 2016 roku </w:t>
      </w:r>
      <w:r w:rsidRPr="009D2D2C">
        <w:rPr>
          <w:rFonts w:asciiTheme="minorHAnsi" w:hAnsiTheme="minorHAnsi" w:cs="Palatino Linotype"/>
          <w:sz w:val="22"/>
        </w:rPr>
        <w:t xml:space="preserve">poziom 22 048,82 tys. zł </w:t>
      </w:r>
      <w:r>
        <w:rPr>
          <w:rFonts w:asciiTheme="minorHAnsi" w:hAnsiTheme="minorHAnsi" w:cs="Palatino Linotype"/>
          <w:sz w:val="22"/>
        </w:rPr>
        <w:t>wykazując</w:t>
      </w:r>
      <w:r w:rsidRPr="009D2D2C">
        <w:rPr>
          <w:rFonts w:asciiTheme="minorHAnsi" w:hAnsiTheme="minorHAnsi" w:cs="Palatino Linotype"/>
          <w:sz w:val="22"/>
        </w:rPr>
        <w:t xml:space="preserve"> spadek w wysokości -14,05% r/r. Natomiast na poziomie wyniku netto </w:t>
      </w:r>
      <w:r>
        <w:rPr>
          <w:rFonts w:asciiTheme="minorHAnsi" w:hAnsiTheme="minorHAnsi" w:cs="Palatino Linotype"/>
          <w:sz w:val="22"/>
        </w:rPr>
        <w:t xml:space="preserve">Emitent </w:t>
      </w:r>
      <w:r w:rsidRPr="009D2D2C">
        <w:rPr>
          <w:rFonts w:asciiTheme="minorHAnsi" w:hAnsiTheme="minorHAnsi" w:cs="Palatino Linotype"/>
          <w:sz w:val="22"/>
        </w:rPr>
        <w:t>zanotowa</w:t>
      </w:r>
      <w:r>
        <w:rPr>
          <w:rFonts w:asciiTheme="minorHAnsi" w:hAnsiTheme="minorHAnsi" w:cs="Palatino Linotype"/>
          <w:sz w:val="22"/>
        </w:rPr>
        <w:t>ł</w:t>
      </w:r>
      <w:r w:rsidRPr="009D2D2C">
        <w:rPr>
          <w:rFonts w:asciiTheme="minorHAnsi" w:hAnsiTheme="minorHAnsi" w:cs="Palatino Linotype"/>
          <w:sz w:val="22"/>
        </w:rPr>
        <w:t xml:space="preserve"> stratę w wysokości -727,74 tys. zł. W ocenie Zarządu, jeśli wstrzymane wcześniej inwestycje będą systematycznie realizowane w kolejnych miesiącach, to słabszy I kwartał 2016 roku nie obciąży wyników całego 2016 roku. </w:t>
      </w:r>
    </w:p>
    <w:p w:rsidR="009D2D2C" w:rsidRDefault="009D2D2C" w:rsidP="009D2D2C">
      <w:pPr>
        <w:autoSpaceDE w:val="0"/>
        <w:autoSpaceDN w:val="0"/>
        <w:adjustRightInd w:val="0"/>
        <w:jc w:val="both"/>
        <w:rPr>
          <w:rFonts w:asciiTheme="minorHAnsi" w:hAnsiTheme="minorHAnsi" w:cs="Palatino Linotype"/>
          <w:sz w:val="22"/>
        </w:rPr>
      </w:pPr>
    </w:p>
    <w:p w:rsidR="009D2D2C" w:rsidRPr="009D2D2C" w:rsidRDefault="009D2D2C" w:rsidP="009D2D2C">
      <w:pPr>
        <w:autoSpaceDE w:val="0"/>
        <w:autoSpaceDN w:val="0"/>
        <w:adjustRightInd w:val="0"/>
        <w:jc w:val="both"/>
        <w:rPr>
          <w:rFonts w:asciiTheme="minorHAnsi" w:hAnsiTheme="minorHAnsi" w:cs="Palatino Linotype"/>
          <w:sz w:val="22"/>
        </w:rPr>
      </w:pPr>
      <w:r>
        <w:rPr>
          <w:rFonts w:asciiTheme="minorHAnsi" w:hAnsiTheme="minorHAnsi" w:cs="Palatino Linotype"/>
          <w:sz w:val="22"/>
        </w:rPr>
        <w:lastRenderedPageBreak/>
        <w:t xml:space="preserve">- </w:t>
      </w:r>
      <w:r w:rsidRPr="009D2D2C">
        <w:rPr>
          <w:rFonts w:asciiTheme="minorHAnsi" w:hAnsiTheme="minorHAnsi" w:cs="Palatino Linotype"/>
          <w:i/>
          <w:sz w:val="22"/>
        </w:rPr>
        <w:t>Biznes wymaga odwagi mierzenia się z przeciwnościami i podejmowania wyzwań. Naszym celem jest obecnie odpracowanie straty i pełna realizacja pierwotnych celów, któr</w:t>
      </w:r>
      <w:r w:rsidRPr="009D2D2C">
        <w:rPr>
          <w:rFonts w:asciiTheme="minorHAnsi" w:hAnsiTheme="minorHAnsi" w:cs="Palatino Linotype"/>
          <w:i/>
          <w:sz w:val="22"/>
        </w:rPr>
        <w:t>e postawiliśmy sobie na ten rok</w:t>
      </w:r>
      <w:r>
        <w:rPr>
          <w:rFonts w:asciiTheme="minorHAnsi" w:hAnsiTheme="minorHAnsi" w:cs="Palatino Linotype"/>
          <w:sz w:val="22"/>
        </w:rPr>
        <w:t xml:space="preserve"> – podsumowuje Ryszard Wtorkowski.</w:t>
      </w:r>
      <w:r w:rsidRPr="009D2D2C">
        <w:rPr>
          <w:rFonts w:asciiTheme="minorHAnsi" w:hAnsiTheme="minorHAnsi" w:cs="Palatino Linotype"/>
          <w:sz w:val="22"/>
        </w:rPr>
        <w:t xml:space="preserve"> </w:t>
      </w:r>
    </w:p>
    <w:p w:rsidR="00317B6E" w:rsidRDefault="00317B6E" w:rsidP="00DF5F51">
      <w:pPr>
        <w:rPr>
          <w:rFonts w:ascii="Calibri" w:hAnsi="Calibri"/>
          <w:b/>
          <w:noProof/>
          <w:szCs w:val="22"/>
        </w:rPr>
      </w:pPr>
    </w:p>
    <w:p w:rsidR="009D2D2C" w:rsidRDefault="009D2D2C" w:rsidP="009D2D2C">
      <w:pPr>
        <w:pStyle w:val="Akapitzlist"/>
        <w:spacing w:line="240" w:lineRule="auto"/>
        <w:ind w:left="0"/>
        <w:jc w:val="both"/>
      </w:pPr>
      <w:r w:rsidRPr="009D2D2C">
        <w:t xml:space="preserve">Jednym z takich strategicznych celów i jednocześnie inwestycją w przyszły rozwój był udział </w:t>
      </w:r>
      <w:r w:rsidRPr="009D2D2C">
        <w:br/>
      </w:r>
      <w:r w:rsidRPr="009D2D2C">
        <w:rPr>
          <w:rStyle w:val="Pogrubienie"/>
          <w:b w:val="0"/>
        </w:rPr>
        <w:t xml:space="preserve">w odbywających się co dwa lata targach </w:t>
      </w:r>
      <w:proofErr w:type="spellStart"/>
      <w:r w:rsidRPr="009D2D2C">
        <w:rPr>
          <w:rStyle w:val="Pogrubienie"/>
          <w:b w:val="0"/>
        </w:rPr>
        <w:t>Light+Building</w:t>
      </w:r>
      <w:proofErr w:type="spellEnd"/>
      <w:r w:rsidRPr="009D2D2C">
        <w:rPr>
          <w:rStyle w:val="Pogrubienie"/>
          <w:b w:val="0"/>
        </w:rPr>
        <w:t xml:space="preserve"> we Frankfurcie nad Menem. Podczas tego jednego, z najbardziej prestiżowych wydarzeń branży oświetleniowej na świecie, stoisko LUG</w:t>
      </w:r>
      <w:r w:rsidRPr="009D2D2C">
        <w:rPr>
          <w:rStyle w:val="Pogrubienie"/>
        </w:rPr>
        <w:t xml:space="preserve"> </w:t>
      </w:r>
      <w:r w:rsidRPr="009D2D2C">
        <w:t>stanowiło esencję najważniejszych światowych trendów. Na powierzchni 240 m</w:t>
      </w:r>
      <w:r w:rsidRPr="009D2D2C">
        <w:rPr>
          <w:vertAlign w:val="superscript"/>
        </w:rPr>
        <w:t>2</w:t>
      </w:r>
      <w:r w:rsidRPr="009D2D2C">
        <w:t xml:space="preserve"> wydzielono strefy dedykowane </w:t>
      </w:r>
      <w:r>
        <w:br/>
        <w:t>trzem</w:t>
      </w:r>
      <w:r w:rsidRPr="009D2D2C">
        <w:t xml:space="preserve"> markom funkcjonującym w portfolio LUG Light Factory: LUG, FLASH DQ oraz LUGBOX, w ramach których zaprezentowano </w:t>
      </w:r>
      <w:r w:rsidRPr="009D2D2C">
        <w:rPr>
          <w:rStyle w:val="Pogrubienie"/>
          <w:b w:val="0"/>
        </w:rPr>
        <w:t xml:space="preserve">szeroki wachlarz rozwiązań wykorzystujących najnowsze zdobycze technologii. </w:t>
      </w:r>
      <w:r w:rsidRPr="009D2D2C">
        <w:t xml:space="preserve">Obok produktów, ogromnym zainteresowaniem na stoisku cieszyły się cztery stanowiska Virtual </w:t>
      </w:r>
      <w:proofErr w:type="spellStart"/>
      <w:r w:rsidRPr="009D2D2C">
        <w:t>Reality</w:t>
      </w:r>
      <w:proofErr w:type="spellEnd"/>
      <w:r w:rsidRPr="009D2D2C">
        <w:t xml:space="preserve">, dzięki którym goście odwiedzający stoisko mogli odbyć wirtualny spacer i obejrzeć oprawy </w:t>
      </w:r>
      <w:r>
        <w:t xml:space="preserve">oświetleniowe </w:t>
      </w:r>
      <w:r w:rsidRPr="009D2D2C">
        <w:t xml:space="preserve">w rzeczywistym środowisku ich funkcjonowania. Targi były także odpowiedzią </w:t>
      </w:r>
      <w:r>
        <w:t xml:space="preserve">LUG </w:t>
      </w:r>
      <w:r w:rsidRPr="009D2D2C">
        <w:t xml:space="preserve">na wyzwania, które współczesny świat stawia przed branżą oświetleniową. </w:t>
      </w:r>
    </w:p>
    <w:p w:rsidR="009D2D2C" w:rsidRDefault="009D2D2C" w:rsidP="009D2D2C">
      <w:pPr>
        <w:pStyle w:val="Akapitzlist"/>
        <w:spacing w:line="240" w:lineRule="auto"/>
        <w:ind w:left="0"/>
        <w:jc w:val="both"/>
      </w:pPr>
    </w:p>
    <w:p w:rsidR="009D2D2C" w:rsidRPr="009D2D2C" w:rsidRDefault="009D2D2C" w:rsidP="009D2D2C">
      <w:pPr>
        <w:pStyle w:val="Akapitzlist"/>
        <w:spacing w:line="240" w:lineRule="auto"/>
        <w:ind w:left="0"/>
        <w:jc w:val="both"/>
      </w:pPr>
      <w:r>
        <w:t xml:space="preserve">- </w:t>
      </w:r>
      <w:r w:rsidRPr="009D2D2C">
        <w:rPr>
          <w:i/>
        </w:rPr>
        <w:t xml:space="preserve">Zaawansowana technologia LED, koncepcje </w:t>
      </w:r>
      <w:proofErr w:type="spellStart"/>
      <w:r w:rsidRPr="009D2D2C">
        <w:rPr>
          <w:i/>
        </w:rPr>
        <w:t>IoT</w:t>
      </w:r>
      <w:proofErr w:type="spellEnd"/>
      <w:r w:rsidRPr="009D2D2C">
        <w:rPr>
          <w:i/>
        </w:rPr>
        <w:t xml:space="preserve"> i </w:t>
      </w:r>
      <w:proofErr w:type="spellStart"/>
      <w:r w:rsidRPr="009D2D2C">
        <w:rPr>
          <w:i/>
        </w:rPr>
        <w:t>human</w:t>
      </w:r>
      <w:proofErr w:type="spellEnd"/>
      <w:r w:rsidRPr="009D2D2C">
        <w:rPr>
          <w:i/>
        </w:rPr>
        <w:t xml:space="preserve"> </w:t>
      </w:r>
      <w:proofErr w:type="spellStart"/>
      <w:r w:rsidRPr="009D2D2C">
        <w:rPr>
          <w:i/>
        </w:rPr>
        <w:t>centric</w:t>
      </w:r>
      <w:proofErr w:type="spellEnd"/>
      <w:r w:rsidRPr="009D2D2C">
        <w:rPr>
          <w:i/>
        </w:rPr>
        <w:t xml:space="preserve"> </w:t>
      </w:r>
      <w:proofErr w:type="spellStart"/>
      <w:r w:rsidRPr="009D2D2C">
        <w:rPr>
          <w:i/>
        </w:rPr>
        <w:t>lighting</w:t>
      </w:r>
      <w:proofErr w:type="spellEnd"/>
      <w:r w:rsidRPr="009D2D2C">
        <w:rPr>
          <w:i/>
        </w:rPr>
        <w:t xml:space="preserve"> to tylko niektóre z trendów, które znalazły odzwierciedlenie w naszych produktach. Wszystkie zaprezentowane rozwiązania od koncepcji poprzez fazę badań, aż po produkcję finalną, powstawać będą w naszych fabrykach. Wychodzimy naprzeciw tym wyzwaniom z odwagą i energią, przekonani o słuszności obranych kierunków i przyjętych wartości, spośród których najważniejszymi są potrzeby człowieka realizowane </w:t>
      </w:r>
      <w:r w:rsidRPr="009D2D2C">
        <w:rPr>
          <w:i/>
        </w:rPr>
        <w:br/>
        <w:t>w poszanowaniu środowiska</w:t>
      </w:r>
      <w:r>
        <w:t xml:space="preserve"> – wyjaśnia Ryszard Wtorkowski.</w:t>
      </w:r>
    </w:p>
    <w:p w:rsidR="009D2D2C" w:rsidRDefault="009D2D2C" w:rsidP="00DF5F51">
      <w:pPr>
        <w:rPr>
          <w:rFonts w:ascii="Calibri" w:hAnsi="Calibri"/>
          <w:b/>
          <w:noProof/>
          <w:szCs w:val="22"/>
        </w:rPr>
      </w:pPr>
    </w:p>
    <w:p w:rsidR="009D2D2C" w:rsidRDefault="009D2D2C" w:rsidP="00DF5F51">
      <w:pPr>
        <w:rPr>
          <w:rFonts w:ascii="Calibri" w:hAnsi="Calibri"/>
          <w:b/>
          <w:noProof/>
          <w:szCs w:val="22"/>
        </w:rPr>
      </w:pPr>
    </w:p>
    <w:p w:rsidR="00247D11" w:rsidRDefault="00247D11" w:rsidP="00DF5F51">
      <w:pPr>
        <w:rPr>
          <w:rFonts w:ascii="Calibri" w:hAnsi="Calibri"/>
          <w:b/>
          <w:noProof/>
          <w:szCs w:val="22"/>
        </w:rPr>
      </w:pPr>
      <w:r>
        <w:rPr>
          <w:rFonts w:ascii="Calibri" w:hAnsi="Calibri"/>
          <w:b/>
          <w:noProof/>
          <w:szCs w:val="22"/>
        </w:rPr>
        <w:t xml:space="preserve">Wybrane dane finansowe </w:t>
      </w:r>
      <w:bookmarkStart w:id="0" w:name="_GoBack"/>
      <w:bookmarkEnd w:id="0"/>
    </w:p>
    <w:p w:rsidR="00247D11" w:rsidRDefault="00247D11" w:rsidP="00DF5F51">
      <w:pPr>
        <w:rPr>
          <w:rFonts w:ascii="Calibri" w:hAnsi="Calibri"/>
          <w:noProof/>
          <w:szCs w:val="22"/>
        </w:rPr>
      </w:pPr>
      <w:r>
        <w:rPr>
          <w:rFonts w:ascii="Calibri" w:hAnsi="Calibri"/>
          <w:noProof/>
          <w:szCs w:val="22"/>
        </w:rPr>
        <w:t>[tys. PLN]</w:t>
      </w:r>
    </w:p>
    <w:p w:rsidR="00A274FD" w:rsidRDefault="00664A2A" w:rsidP="00664A2A">
      <w:pPr>
        <w:jc w:val="center"/>
        <w:rPr>
          <w:rFonts w:ascii="Calibri" w:hAnsi="Calibri"/>
          <w:noProof/>
          <w:szCs w:val="22"/>
        </w:rPr>
      </w:pPr>
      <w:r>
        <w:rPr>
          <w:noProof/>
        </w:rPr>
        <w:drawing>
          <wp:inline distT="0" distB="0" distL="0" distR="0" wp14:anchorId="32949A7E" wp14:editId="7D001AE3">
            <wp:extent cx="4219635" cy="2113204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5500" cy="211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B6E" w:rsidRDefault="00317B6E" w:rsidP="00DF5F51">
      <w:pPr>
        <w:rPr>
          <w:rFonts w:ascii="Calibri" w:hAnsi="Calibri"/>
          <w:noProof/>
          <w:szCs w:val="22"/>
        </w:rPr>
      </w:pPr>
    </w:p>
    <w:p w:rsidR="00317B6E" w:rsidRPr="0038330C" w:rsidRDefault="00317B6E" w:rsidP="00317B6E">
      <w:pPr>
        <w:jc w:val="both"/>
        <w:rPr>
          <w:rFonts w:asciiTheme="minorHAnsi" w:hAnsiTheme="minorHAnsi"/>
          <w:noProof/>
          <w:sz w:val="20"/>
          <w:szCs w:val="20"/>
        </w:rPr>
      </w:pPr>
      <w:r w:rsidRPr="0038330C">
        <w:rPr>
          <w:rFonts w:asciiTheme="minorHAnsi" w:hAnsiTheme="minorHAnsi"/>
          <w:noProof/>
          <w:sz w:val="20"/>
          <w:szCs w:val="20"/>
        </w:rPr>
        <w:t xml:space="preserve">Pełne </w:t>
      </w:r>
      <w:r w:rsidR="00D35A70" w:rsidRPr="0038330C">
        <w:rPr>
          <w:rFonts w:asciiTheme="minorHAnsi" w:hAnsiTheme="minorHAnsi"/>
          <w:noProof/>
          <w:sz w:val="20"/>
          <w:szCs w:val="20"/>
        </w:rPr>
        <w:t>wersje raportów rocznych (jednostkowy i skonsolidowany) wraz ze sprawozdaniami finansowymi</w:t>
      </w:r>
      <w:r w:rsidRPr="0038330C">
        <w:rPr>
          <w:rFonts w:asciiTheme="minorHAnsi" w:hAnsiTheme="minorHAnsi"/>
          <w:noProof/>
          <w:sz w:val="20"/>
          <w:szCs w:val="20"/>
        </w:rPr>
        <w:t xml:space="preserve"> </w:t>
      </w:r>
      <w:r w:rsidR="00D35A70" w:rsidRPr="0038330C">
        <w:rPr>
          <w:rFonts w:asciiTheme="minorHAnsi" w:hAnsiTheme="minorHAnsi"/>
          <w:noProof/>
          <w:sz w:val="20"/>
          <w:szCs w:val="20"/>
        </w:rPr>
        <w:t xml:space="preserve">znajdują się </w:t>
      </w:r>
      <w:r w:rsidRPr="0038330C">
        <w:rPr>
          <w:rFonts w:asciiTheme="minorHAnsi" w:hAnsiTheme="minorHAnsi"/>
          <w:noProof/>
          <w:sz w:val="20"/>
          <w:szCs w:val="20"/>
        </w:rPr>
        <w:t xml:space="preserve">na </w:t>
      </w:r>
      <w:hyperlink r:id="rId10" w:history="1">
        <w:r w:rsidRPr="0038330C">
          <w:rPr>
            <w:rStyle w:val="Hipercze"/>
            <w:rFonts w:asciiTheme="minorHAnsi" w:hAnsiTheme="minorHAnsi"/>
            <w:noProof/>
            <w:sz w:val="20"/>
            <w:szCs w:val="20"/>
          </w:rPr>
          <w:t>www.lug.com.pl</w:t>
        </w:r>
      </w:hyperlink>
    </w:p>
    <w:p w:rsidR="00317B6E" w:rsidRPr="0038330C" w:rsidRDefault="00317B6E" w:rsidP="00DF5F51">
      <w:pPr>
        <w:rPr>
          <w:rFonts w:asciiTheme="minorHAnsi" w:hAnsiTheme="minorHAnsi"/>
          <w:noProof/>
          <w:sz w:val="20"/>
          <w:szCs w:val="20"/>
        </w:rPr>
      </w:pPr>
    </w:p>
    <w:p w:rsidR="009D2D2C" w:rsidRDefault="009D2D2C" w:rsidP="00247D11">
      <w:pPr>
        <w:pStyle w:val="Text"/>
        <w:spacing w:after="0" w:line="240" w:lineRule="auto"/>
        <w:jc w:val="both"/>
        <w:rPr>
          <w:rFonts w:asciiTheme="minorHAnsi" w:hAnsiTheme="minorHAnsi" w:cs="Tahoma"/>
          <w:b/>
          <w:bCs/>
          <w:sz w:val="20"/>
          <w:szCs w:val="20"/>
        </w:rPr>
        <w:sectPr w:rsidR="009D2D2C" w:rsidSect="0012404D">
          <w:headerReference w:type="default" r:id="rId11"/>
          <w:footerReference w:type="default" r:id="rId12"/>
          <w:pgSz w:w="11906" w:h="16838" w:code="9"/>
          <w:pgMar w:top="1418" w:right="1304" w:bottom="1418" w:left="1304" w:header="1077" w:footer="1077" w:gutter="0"/>
          <w:cols w:space="708"/>
          <w:docGrid w:linePitch="360"/>
        </w:sectPr>
      </w:pPr>
    </w:p>
    <w:p w:rsidR="00247D11" w:rsidRPr="0038330C" w:rsidRDefault="00247D11" w:rsidP="00247D11">
      <w:pPr>
        <w:pStyle w:val="Text"/>
        <w:spacing w:after="0" w:line="240" w:lineRule="auto"/>
        <w:jc w:val="both"/>
        <w:rPr>
          <w:rFonts w:asciiTheme="minorHAnsi" w:hAnsiTheme="minorHAnsi" w:cs="Tahoma"/>
          <w:bCs/>
          <w:sz w:val="20"/>
          <w:szCs w:val="20"/>
        </w:rPr>
      </w:pPr>
      <w:r w:rsidRPr="0038330C">
        <w:rPr>
          <w:rFonts w:asciiTheme="minorHAnsi" w:hAnsiTheme="minorHAnsi" w:cs="Tahoma"/>
          <w:b/>
          <w:bCs/>
          <w:sz w:val="20"/>
          <w:szCs w:val="20"/>
        </w:rPr>
        <w:lastRenderedPageBreak/>
        <w:t xml:space="preserve">LUG S.A. </w:t>
      </w:r>
      <w:r w:rsidRPr="0038330C">
        <w:rPr>
          <w:rFonts w:asciiTheme="minorHAnsi" w:hAnsiTheme="minorHAnsi" w:cs="Tahoma"/>
          <w:bCs/>
          <w:sz w:val="20"/>
          <w:szCs w:val="20"/>
        </w:rPr>
        <w:t xml:space="preserve">to spółka holdingowa Grupy Kapitałowej LUG S.A. – jednego z czołowych europejskich producentów profesjonalnych rozwiązań oświetleniowych. Grupa sprzedaje swoje produkty w Polsce oraz w kilkudziesięciu krajach na całym świecie. Posiadająca 26 lat doświadczenia firma z siedzibą w Zielonej Górze, od 2008 roku funkcjonuje jako Grupa Kapitałowa. W jej skład wchodzą: LUG S.A., LUG Light Factory Sp. z o.o., LUG GmbH, LUG do </w:t>
      </w:r>
      <w:proofErr w:type="spellStart"/>
      <w:r w:rsidRPr="0038330C">
        <w:rPr>
          <w:rFonts w:asciiTheme="minorHAnsi" w:hAnsiTheme="minorHAnsi" w:cs="Tahoma"/>
          <w:bCs/>
          <w:sz w:val="20"/>
          <w:szCs w:val="20"/>
        </w:rPr>
        <w:t>Brazil</w:t>
      </w:r>
      <w:proofErr w:type="spellEnd"/>
      <w:r w:rsidRPr="0038330C">
        <w:rPr>
          <w:rFonts w:asciiTheme="minorHAnsi" w:hAnsiTheme="minorHAnsi" w:cs="Tahoma"/>
          <w:bCs/>
          <w:sz w:val="20"/>
          <w:szCs w:val="20"/>
        </w:rPr>
        <w:t xml:space="preserve"> </w:t>
      </w:r>
      <w:proofErr w:type="spellStart"/>
      <w:r w:rsidRPr="0038330C">
        <w:rPr>
          <w:rFonts w:asciiTheme="minorHAnsi" w:hAnsiTheme="minorHAnsi" w:cs="Tahoma"/>
          <w:bCs/>
          <w:sz w:val="20"/>
          <w:szCs w:val="20"/>
        </w:rPr>
        <w:t>Ltda</w:t>
      </w:r>
      <w:proofErr w:type="spellEnd"/>
      <w:r w:rsidRPr="0038330C">
        <w:rPr>
          <w:rFonts w:asciiTheme="minorHAnsi" w:hAnsiTheme="minorHAnsi" w:cs="Tahoma"/>
          <w:bCs/>
          <w:sz w:val="20"/>
          <w:szCs w:val="20"/>
        </w:rPr>
        <w:t xml:space="preserve">, LUG </w:t>
      </w:r>
      <w:proofErr w:type="spellStart"/>
      <w:r w:rsidRPr="0038330C">
        <w:rPr>
          <w:rFonts w:asciiTheme="minorHAnsi" w:hAnsiTheme="minorHAnsi" w:cs="Tahoma"/>
          <w:bCs/>
          <w:sz w:val="20"/>
          <w:szCs w:val="20"/>
        </w:rPr>
        <w:t>Lighting</w:t>
      </w:r>
      <w:proofErr w:type="spellEnd"/>
      <w:r w:rsidRPr="0038330C">
        <w:rPr>
          <w:rFonts w:asciiTheme="minorHAnsi" w:hAnsiTheme="minorHAnsi" w:cs="Tahoma"/>
          <w:bCs/>
          <w:sz w:val="20"/>
          <w:szCs w:val="20"/>
        </w:rPr>
        <w:t xml:space="preserve"> UK Ltd.  oraz TOW LUG Ukraina. LUG S.A. od listopada 2007 roku jest notowana na rynku </w:t>
      </w:r>
      <w:proofErr w:type="spellStart"/>
      <w:r w:rsidRPr="0038330C">
        <w:rPr>
          <w:rFonts w:asciiTheme="minorHAnsi" w:hAnsiTheme="minorHAnsi" w:cs="Tahoma"/>
          <w:bCs/>
          <w:sz w:val="20"/>
          <w:szCs w:val="20"/>
        </w:rPr>
        <w:t>NewConnect</w:t>
      </w:r>
      <w:proofErr w:type="spellEnd"/>
      <w:r w:rsidRPr="0038330C">
        <w:rPr>
          <w:rFonts w:asciiTheme="minorHAnsi" w:hAnsiTheme="minorHAnsi" w:cs="Tahoma"/>
          <w:bCs/>
          <w:sz w:val="20"/>
          <w:szCs w:val="20"/>
        </w:rPr>
        <w:t xml:space="preserve"> zarządzanym przez warszawską GPW. Więcej informacji: </w:t>
      </w:r>
      <w:hyperlink r:id="rId13" w:history="1">
        <w:r w:rsidRPr="0038330C">
          <w:rPr>
            <w:rStyle w:val="Hipercze"/>
            <w:rFonts w:asciiTheme="minorHAnsi" w:hAnsiTheme="minorHAnsi" w:cs="Tahoma"/>
            <w:bCs/>
            <w:sz w:val="20"/>
            <w:szCs w:val="20"/>
          </w:rPr>
          <w:t>www.lug.com.pl</w:t>
        </w:r>
      </w:hyperlink>
    </w:p>
    <w:p w:rsidR="00247D11" w:rsidRDefault="00247D11" w:rsidP="00DF5F51">
      <w:pPr>
        <w:rPr>
          <w:rFonts w:ascii="Calibri" w:hAnsi="Calibri"/>
          <w:noProof/>
          <w:szCs w:val="22"/>
        </w:rPr>
      </w:pPr>
    </w:p>
    <w:p w:rsidR="00247D11" w:rsidRPr="0038330C" w:rsidRDefault="00317B6E" w:rsidP="00DF5F51">
      <w:pPr>
        <w:rPr>
          <w:rFonts w:asciiTheme="minorHAnsi" w:hAnsiTheme="minorHAnsi"/>
          <w:b/>
          <w:sz w:val="20"/>
          <w:szCs w:val="20"/>
        </w:rPr>
      </w:pPr>
      <w:r w:rsidRPr="0038330C">
        <w:rPr>
          <w:rFonts w:asciiTheme="minorHAnsi" w:hAnsiTheme="minorHAnsi"/>
          <w:b/>
          <w:sz w:val="20"/>
          <w:szCs w:val="20"/>
        </w:rPr>
        <w:t>Kontakt dla mediów i inwestorów:</w:t>
      </w:r>
    </w:p>
    <w:p w:rsidR="00317B6E" w:rsidRPr="0038330C" w:rsidRDefault="00317B6E" w:rsidP="00DF5F51">
      <w:pPr>
        <w:rPr>
          <w:rFonts w:asciiTheme="minorHAnsi" w:hAnsiTheme="minorHAnsi"/>
          <w:sz w:val="20"/>
          <w:szCs w:val="20"/>
        </w:rPr>
      </w:pPr>
    </w:p>
    <w:p w:rsidR="00317B6E" w:rsidRPr="0038330C" w:rsidRDefault="00317B6E" w:rsidP="00DF5F51">
      <w:pPr>
        <w:rPr>
          <w:rFonts w:asciiTheme="minorHAnsi" w:hAnsiTheme="minorHAnsi"/>
          <w:b/>
          <w:sz w:val="20"/>
          <w:szCs w:val="20"/>
        </w:rPr>
      </w:pPr>
      <w:r w:rsidRPr="0038330C">
        <w:rPr>
          <w:rFonts w:asciiTheme="minorHAnsi" w:hAnsiTheme="minorHAnsi"/>
          <w:b/>
          <w:sz w:val="20"/>
          <w:szCs w:val="20"/>
        </w:rPr>
        <w:t>Monika Bartoszak</w:t>
      </w:r>
    </w:p>
    <w:p w:rsidR="00317B6E" w:rsidRPr="0038330C" w:rsidRDefault="00317B6E" w:rsidP="00DF5F51">
      <w:pPr>
        <w:rPr>
          <w:rFonts w:asciiTheme="minorHAnsi" w:hAnsiTheme="minorHAnsi"/>
          <w:sz w:val="20"/>
          <w:szCs w:val="20"/>
        </w:rPr>
      </w:pPr>
      <w:r w:rsidRPr="0038330C">
        <w:rPr>
          <w:rFonts w:asciiTheme="minorHAnsi" w:hAnsiTheme="minorHAnsi"/>
          <w:sz w:val="20"/>
          <w:szCs w:val="20"/>
        </w:rPr>
        <w:t>+48 510 183 993</w:t>
      </w:r>
    </w:p>
    <w:p w:rsidR="00317B6E" w:rsidRPr="0038330C" w:rsidRDefault="00CF43E2" w:rsidP="00317B6E">
      <w:pPr>
        <w:rPr>
          <w:rFonts w:asciiTheme="minorHAnsi" w:hAnsiTheme="minorHAnsi"/>
          <w:sz w:val="20"/>
          <w:szCs w:val="20"/>
        </w:rPr>
      </w:pPr>
      <w:hyperlink r:id="rId14" w:history="1">
        <w:r w:rsidR="00317B6E" w:rsidRPr="0038330C">
          <w:rPr>
            <w:rStyle w:val="Hipercze"/>
            <w:rFonts w:asciiTheme="minorHAnsi" w:hAnsiTheme="minorHAnsi"/>
            <w:sz w:val="20"/>
            <w:szCs w:val="20"/>
          </w:rPr>
          <w:t>monika.bartoszak@lug.com.pl</w:t>
        </w:r>
      </w:hyperlink>
    </w:p>
    <w:p w:rsidR="00803F08" w:rsidRPr="0038330C" w:rsidRDefault="00CF43E2" w:rsidP="00DF5F51">
      <w:pPr>
        <w:rPr>
          <w:rFonts w:asciiTheme="minorHAnsi" w:hAnsiTheme="minorHAnsi"/>
          <w:sz w:val="20"/>
          <w:szCs w:val="20"/>
        </w:rPr>
      </w:pPr>
      <w:hyperlink r:id="rId15" w:history="1">
        <w:r w:rsidR="00317B6E" w:rsidRPr="0038330C">
          <w:rPr>
            <w:rStyle w:val="Hipercze"/>
            <w:rFonts w:asciiTheme="minorHAnsi" w:hAnsiTheme="minorHAnsi"/>
            <w:sz w:val="20"/>
            <w:szCs w:val="20"/>
          </w:rPr>
          <w:t>relacje@lug.com.pl</w:t>
        </w:r>
      </w:hyperlink>
    </w:p>
    <w:sectPr w:rsidR="00803F08" w:rsidRPr="0038330C" w:rsidSect="0012404D">
      <w:pgSz w:w="11906" w:h="16838" w:code="9"/>
      <w:pgMar w:top="1418" w:right="1304" w:bottom="1418" w:left="1304" w:header="107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3E2" w:rsidRDefault="00CF43E2">
      <w:r>
        <w:separator/>
      </w:r>
    </w:p>
  </w:endnote>
  <w:endnote w:type="continuationSeparator" w:id="0">
    <w:p w:rsidR="00CF43E2" w:rsidRDefault="00CF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INPl">
    <w:altName w:val="Courier New"/>
    <w:charset w:val="EE"/>
    <w:family w:val="auto"/>
    <w:pitch w:val="variable"/>
    <w:sig w:usb0="00000001" w:usb1="0000004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8B1" w:rsidRPr="001000FF" w:rsidRDefault="00CF47ED">
    <w:pPr>
      <w:pStyle w:val="Stopka"/>
    </w:pPr>
    <w:r>
      <w:rPr>
        <w:noProof/>
      </w:rPr>
      <w:drawing>
        <wp:inline distT="0" distB="0" distL="0" distR="0" wp14:anchorId="0A133BD6" wp14:editId="1EEB40F5">
          <wp:extent cx="5924550" cy="581025"/>
          <wp:effectExtent l="0" t="0" r="0" b="9525"/>
          <wp:docPr id="2" name="Obraz 2" descr="Kopia_zapasowa_LUG papier firmowy_light fac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_zapasowa_LUG papier firmowy_light facto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3E2" w:rsidRDefault="00CF43E2">
      <w:r>
        <w:separator/>
      </w:r>
    </w:p>
  </w:footnote>
  <w:footnote w:type="continuationSeparator" w:id="0">
    <w:p w:rsidR="00CF43E2" w:rsidRDefault="00CF4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81" w:rsidRPr="00A83E2A" w:rsidRDefault="00CF47ED">
    <w:pPr>
      <w:pStyle w:val="Nagwek"/>
    </w:pPr>
    <w:r>
      <w:rPr>
        <w:noProof/>
      </w:rPr>
      <w:drawing>
        <wp:inline distT="0" distB="0" distL="0" distR="0" wp14:anchorId="10CB9772" wp14:editId="6D7DB199">
          <wp:extent cx="5943600" cy="552450"/>
          <wp:effectExtent l="0" t="0" r="0" b="0"/>
          <wp:docPr id="1" name="Obraz 1" descr="nagłówek_lug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_lug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E2A">
      <w:t xml:space="preserve"> </w:t>
    </w:r>
    <w:r w:rsidR="005B1722">
      <w:t xml:space="preserve">        </w:t>
    </w:r>
  </w:p>
  <w:p w:rsidR="00B30281" w:rsidRPr="007858B1" w:rsidRDefault="00B30281">
    <w:pPr>
      <w:pStyle w:val="Nagwek"/>
      <w:rPr>
        <w:rFonts w:ascii="DINPl" w:hAnsi="DINPl"/>
      </w:rPr>
    </w:pPr>
    <w:r>
      <w:t xml:space="preserve">   </w:t>
    </w:r>
    <w:r w:rsidR="007858B1"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573BC"/>
    <w:multiLevelType w:val="hybridMultilevel"/>
    <w:tmpl w:val="A7D63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F643A"/>
    <w:multiLevelType w:val="hybridMultilevel"/>
    <w:tmpl w:val="A68CC01A"/>
    <w:lvl w:ilvl="0" w:tplc="7692203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20085D42">
      <w:start w:val="1"/>
      <w:numFmt w:val="lowerLetter"/>
      <w:lvlText w:val="%2."/>
      <w:lvlJc w:val="left"/>
      <w:pPr>
        <w:ind w:left="249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4A8750BC"/>
    <w:multiLevelType w:val="hybridMultilevel"/>
    <w:tmpl w:val="288E4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5202E"/>
    <w:multiLevelType w:val="hybridMultilevel"/>
    <w:tmpl w:val="F886E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57DD9"/>
    <w:multiLevelType w:val="hybridMultilevel"/>
    <w:tmpl w:val="6588AF42"/>
    <w:lvl w:ilvl="0" w:tplc="DB76ED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B46707"/>
    <w:multiLevelType w:val="hybridMultilevel"/>
    <w:tmpl w:val="BD341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8E"/>
    <w:rsid w:val="00005541"/>
    <w:rsid w:val="00006765"/>
    <w:rsid w:val="00026392"/>
    <w:rsid w:val="00055E7D"/>
    <w:rsid w:val="000642FA"/>
    <w:rsid w:val="00070395"/>
    <w:rsid w:val="000821FE"/>
    <w:rsid w:val="000C341D"/>
    <w:rsid w:val="000F0201"/>
    <w:rsid w:val="001000FF"/>
    <w:rsid w:val="00122D1E"/>
    <w:rsid w:val="0012404D"/>
    <w:rsid w:val="00124B17"/>
    <w:rsid w:val="001B34CA"/>
    <w:rsid w:val="001D0402"/>
    <w:rsid w:val="0021240B"/>
    <w:rsid w:val="00220A66"/>
    <w:rsid w:val="00244B02"/>
    <w:rsid w:val="00245355"/>
    <w:rsid w:val="00247D11"/>
    <w:rsid w:val="002515FF"/>
    <w:rsid w:val="00262876"/>
    <w:rsid w:val="00284FD0"/>
    <w:rsid w:val="002942A2"/>
    <w:rsid w:val="002A7D41"/>
    <w:rsid w:val="002B0413"/>
    <w:rsid w:val="002F1F4B"/>
    <w:rsid w:val="00317B6E"/>
    <w:rsid w:val="00334FB5"/>
    <w:rsid w:val="00346F57"/>
    <w:rsid w:val="003517A2"/>
    <w:rsid w:val="00363E52"/>
    <w:rsid w:val="003652F4"/>
    <w:rsid w:val="00380E61"/>
    <w:rsid w:val="0038330C"/>
    <w:rsid w:val="003B030B"/>
    <w:rsid w:val="003E4A26"/>
    <w:rsid w:val="003F23F4"/>
    <w:rsid w:val="004414C7"/>
    <w:rsid w:val="00454A31"/>
    <w:rsid w:val="004C6C4C"/>
    <w:rsid w:val="00531831"/>
    <w:rsid w:val="005766D8"/>
    <w:rsid w:val="00596088"/>
    <w:rsid w:val="005B1722"/>
    <w:rsid w:val="005F766A"/>
    <w:rsid w:val="005F792F"/>
    <w:rsid w:val="006217BE"/>
    <w:rsid w:val="0064474D"/>
    <w:rsid w:val="00655997"/>
    <w:rsid w:val="00664A2A"/>
    <w:rsid w:val="006945E8"/>
    <w:rsid w:val="006A44D3"/>
    <w:rsid w:val="006C20C0"/>
    <w:rsid w:val="006D4AE3"/>
    <w:rsid w:val="00711192"/>
    <w:rsid w:val="00763BF0"/>
    <w:rsid w:val="00770619"/>
    <w:rsid w:val="007858B1"/>
    <w:rsid w:val="007B2AD5"/>
    <w:rsid w:val="007C4322"/>
    <w:rsid w:val="007D2789"/>
    <w:rsid w:val="007F64A8"/>
    <w:rsid w:val="00803F08"/>
    <w:rsid w:val="00804521"/>
    <w:rsid w:val="00830F20"/>
    <w:rsid w:val="00857013"/>
    <w:rsid w:val="008A2022"/>
    <w:rsid w:val="008B35AA"/>
    <w:rsid w:val="00935224"/>
    <w:rsid w:val="00962956"/>
    <w:rsid w:val="009925F8"/>
    <w:rsid w:val="009D2D2C"/>
    <w:rsid w:val="00A00411"/>
    <w:rsid w:val="00A060DB"/>
    <w:rsid w:val="00A274FD"/>
    <w:rsid w:val="00A83E2A"/>
    <w:rsid w:val="00A955BD"/>
    <w:rsid w:val="00AD031A"/>
    <w:rsid w:val="00AD3614"/>
    <w:rsid w:val="00AE457F"/>
    <w:rsid w:val="00B04E7C"/>
    <w:rsid w:val="00B15E8C"/>
    <w:rsid w:val="00B20D15"/>
    <w:rsid w:val="00B30281"/>
    <w:rsid w:val="00B77EA1"/>
    <w:rsid w:val="00BE580E"/>
    <w:rsid w:val="00C02204"/>
    <w:rsid w:val="00C44584"/>
    <w:rsid w:val="00C55A35"/>
    <w:rsid w:val="00CA1313"/>
    <w:rsid w:val="00CD36E9"/>
    <w:rsid w:val="00CE3245"/>
    <w:rsid w:val="00CF43E2"/>
    <w:rsid w:val="00CF47ED"/>
    <w:rsid w:val="00D2390D"/>
    <w:rsid w:val="00D34946"/>
    <w:rsid w:val="00D35A70"/>
    <w:rsid w:val="00D444D8"/>
    <w:rsid w:val="00D47BF0"/>
    <w:rsid w:val="00D567A2"/>
    <w:rsid w:val="00D5748E"/>
    <w:rsid w:val="00D72FA5"/>
    <w:rsid w:val="00DF5F51"/>
    <w:rsid w:val="00E2706C"/>
    <w:rsid w:val="00E93A15"/>
    <w:rsid w:val="00E95E8B"/>
    <w:rsid w:val="00EE36C2"/>
    <w:rsid w:val="00F1031D"/>
    <w:rsid w:val="00FD3C5C"/>
    <w:rsid w:val="00FD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302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302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30281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E93A15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E32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E3245"/>
    <w:pPr>
      <w:spacing w:before="100" w:beforeAutospacing="1" w:after="100" w:afterAutospacing="1"/>
    </w:pPr>
  </w:style>
  <w:style w:type="character" w:customStyle="1" w:styleId="dane">
    <w:name w:val="dane"/>
    <w:basedOn w:val="Domylnaczcionkaakapitu"/>
    <w:rsid w:val="00CE324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2F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2FA5"/>
  </w:style>
  <w:style w:type="character" w:styleId="Odwoanieprzypisukocowego">
    <w:name w:val="endnote reference"/>
    <w:basedOn w:val="Domylnaczcionkaakapitu"/>
    <w:uiPriority w:val="99"/>
    <w:semiHidden/>
    <w:unhideWhenUsed/>
    <w:rsid w:val="00D72FA5"/>
    <w:rPr>
      <w:vertAlign w:val="superscript"/>
    </w:rPr>
  </w:style>
  <w:style w:type="character" w:styleId="Pogrubienie">
    <w:name w:val="Strong"/>
    <w:uiPriority w:val="22"/>
    <w:qFormat/>
    <w:rsid w:val="0021240B"/>
    <w:rPr>
      <w:b/>
      <w:bCs/>
    </w:rPr>
  </w:style>
  <w:style w:type="character" w:customStyle="1" w:styleId="Nagwek1Znak">
    <w:name w:val="Nagłówek 1 Znak"/>
    <w:link w:val="Nagwek1"/>
    <w:rsid w:val="00D2390D"/>
    <w:rPr>
      <w:rFonts w:ascii="Arial" w:hAnsi="Arial" w:cs="Arial"/>
      <w:b/>
      <w:bCs/>
      <w:kern w:val="32"/>
      <w:sz w:val="32"/>
      <w:szCs w:val="32"/>
    </w:rPr>
  </w:style>
  <w:style w:type="character" w:customStyle="1" w:styleId="TextChar">
    <w:name w:val="Text Char"/>
    <w:link w:val="Text"/>
    <w:locked/>
    <w:rsid w:val="00D2390D"/>
    <w:rPr>
      <w:rFonts w:ascii="Century Gothic" w:hAnsi="Century Gothic"/>
      <w:sz w:val="18"/>
      <w:szCs w:val="18"/>
      <w:lang w:bidi="pl-PL"/>
    </w:rPr>
  </w:style>
  <w:style w:type="paragraph" w:customStyle="1" w:styleId="Text">
    <w:name w:val="Text"/>
    <w:basedOn w:val="Normalny"/>
    <w:link w:val="TextChar"/>
    <w:rsid w:val="00D2390D"/>
    <w:pPr>
      <w:spacing w:after="220" w:line="336" w:lineRule="auto"/>
    </w:pPr>
    <w:rPr>
      <w:rFonts w:ascii="Century Gothic" w:hAnsi="Century Gothic"/>
      <w:sz w:val="18"/>
      <w:szCs w:val="18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4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41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3494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F23F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F23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302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302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30281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E93A15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E32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E3245"/>
    <w:pPr>
      <w:spacing w:before="100" w:beforeAutospacing="1" w:after="100" w:afterAutospacing="1"/>
    </w:pPr>
  </w:style>
  <w:style w:type="character" w:customStyle="1" w:styleId="dane">
    <w:name w:val="dane"/>
    <w:basedOn w:val="Domylnaczcionkaakapitu"/>
    <w:rsid w:val="00CE324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2F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2FA5"/>
  </w:style>
  <w:style w:type="character" w:styleId="Odwoanieprzypisukocowego">
    <w:name w:val="endnote reference"/>
    <w:basedOn w:val="Domylnaczcionkaakapitu"/>
    <w:uiPriority w:val="99"/>
    <w:semiHidden/>
    <w:unhideWhenUsed/>
    <w:rsid w:val="00D72FA5"/>
    <w:rPr>
      <w:vertAlign w:val="superscript"/>
    </w:rPr>
  </w:style>
  <w:style w:type="character" w:styleId="Pogrubienie">
    <w:name w:val="Strong"/>
    <w:uiPriority w:val="22"/>
    <w:qFormat/>
    <w:rsid w:val="0021240B"/>
    <w:rPr>
      <w:b/>
      <w:bCs/>
    </w:rPr>
  </w:style>
  <w:style w:type="character" w:customStyle="1" w:styleId="Nagwek1Znak">
    <w:name w:val="Nagłówek 1 Znak"/>
    <w:link w:val="Nagwek1"/>
    <w:rsid w:val="00D2390D"/>
    <w:rPr>
      <w:rFonts w:ascii="Arial" w:hAnsi="Arial" w:cs="Arial"/>
      <w:b/>
      <w:bCs/>
      <w:kern w:val="32"/>
      <w:sz w:val="32"/>
      <w:szCs w:val="32"/>
    </w:rPr>
  </w:style>
  <w:style w:type="character" w:customStyle="1" w:styleId="TextChar">
    <w:name w:val="Text Char"/>
    <w:link w:val="Text"/>
    <w:locked/>
    <w:rsid w:val="00D2390D"/>
    <w:rPr>
      <w:rFonts w:ascii="Century Gothic" w:hAnsi="Century Gothic"/>
      <w:sz w:val="18"/>
      <w:szCs w:val="18"/>
      <w:lang w:bidi="pl-PL"/>
    </w:rPr>
  </w:style>
  <w:style w:type="paragraph" w:customStyle="1" w:styleId="Text">
    <w:name w:val="Text"/>
    <w:basedOn w:val="Normalny"/>
    <w:link w:val="TextChar"/>
    <w:rsid w:val="00D2390D"/>
    <w:pPr>
      <w:spacing w:after="220" w:line="336" w:lineRule="auto"/>
    </w:pPr>
    <w:rPr>
      <w:rFonts w:ascii="Century Gothic" w:hAnsi="Century Gothic"/>
      <w:sz w:val="18"/>
      <w:szCs w:val="18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4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41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3494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F23F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F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ug.com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relacje@lug.com.pl" TargetMode="External"/><Relationship Id="rId10" Type="http://schemas.openxmlformats.org/officeDocument/2006/relationships/hyperlink" Target="http://www.lug.com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onika.bartoszak@lug.com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52E3E-59A8-42ED-88EC-49B0A4C7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lug</Company>
  <LinksUpToDate>false</LinksUpToDate>
  <CharactersWithSpaces>4988</CharactersWithSpaces>
  <SharedDoc>false</SharedDoc>
  <HLinks>
    <vt:vector size="6" baseType="variant">
      <vt:variant>
        <vt:i4>7405606</vt:i4>
      </vt:variant>
      <vt:variant>
        <vt:i4>0</vt:i4>
      </vt:variant>
      <vt:variant>
        <vt:i4>0</vt:i4>
      </vt:variant>
      <vt:variant>
        <vt:i4>5</vt:i4>
      </vt:variant>
      <vt:variant>
        <vt:lpwstr>http://www.lug.com.pl/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Szczesniak</dc:creator>
  <cp:lastModifiedBy>Monika</cp:lastModifiedBy>
  <cp:revision>12</cp:revision>
  <cp:lastPrinted>2011-05-19T12:24:00Z</cp:lastPrinted>
  <dcterms:created xsi:type="dcterms:W3CDTF">2016-01-29T10:54:00Z</dcterms:created>
  <dcterms:modified xsi:type="dcterms:W3CDTF">2016-05-13T09:09:00Z</dcterms:modified>
</cp:coreProperties>
</file>