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0D" w:rsidRDefault="00D2390D" w:rsidP="00D2390D">
      <w:pPr>
        <w:pStyle w:val="Nagwek1"/>
        <w:spacing w:before="120"/>
        <w:jc w:val="right"/>
        <w:rPr>
          <w:rFonts w:ascii="Calibri" w:hAnsi="Calibri" w:cs="Tahoma"/>
          <w:color w:val="404040"/>
        </w:rPr>
      </w:pPr>
      <w:r>
        <w:rPr>
          <w:rFonts w:ascii="Calibri" w:hAnsi="Calibri" w:cs="Tahoma"/>
          <w:color w:val="404040"/>
        </w:rPr>
        <w:t>Informacja prasowa</w:t>
      </w:r>
    </w:p>
    <w:p w:rsidR="005B1722" w:rsidRDefault="00247D11" w:rsidP="00DF5F51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 w:rsidR="00DF5F51">
        <w:rPr>
          <w:rFonts w:ascii="Calibri" w:hAnsi="Calibri"/>
          <w:sz w:val="22"/>
          <w:szCs w:val="22"/>
        </w:rPr>
        <w:t>.</w:t>
      </w:r>
      <w:r w:rsidR="00A00411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>2</w:t>
      </w:r>
      <w:r w:rsidR="00DF5F51">
        <w:rPr>
          <w:rFonts w:ascii="Calibri" w:hAnsi="Calibri"/>
          <w:sz w:val="22"/>
          <w:szCs w:val="22"/>
        </w:rPr>
        <w:t>.201</w:t>
      </w:r>
      <w:r w:rsidR="00A00411">
        <w:rPr>
          <w:rFonts w:ascii="Calibri" w:hAnsi="Calibri"/>
          <w:sz w:val="22"/>
          <w:szCs w:val="22"/>
        </w:rPr>
        <w:t>6</w:t>
      </w:r>
      <w:r w:rsidR="00DF5F51">
        <w:rPr>
          <w:rFonts w:ascii="Calibri" w:hAnsi="Calibri"/>
          <w:sz w:val="22"/>
          <w:szCs w:val="22"/>
        </w:rPr>
        <w:t>r.</w:t>
      </w:r>
    </w:p>
    <w:p w:rsidR="00DF5F51" w:rsidRPr="00E95E8B" w:rsidRDefault="00DF5F51" w:rsidP="00DF5F51">
      <w:pPr>
        <w:jc w:val="right"/>
        <w:rPr>
          <w:rFonts w:ascii="Calibri" w:hAnsi="Calibri"/>
          <w:sz w:val="10"/>
          <w:szCs w:val="22"/>
        </w:rPr>
      </w:pPr>
    </w:p>
    <w:p w:rsidR="00DF5F51" w:rsidRPr="00E95E8B" w:rsidRDefault="00DF5F51" w:rsidP="00DF5F51">
      <w:pPr>
        <w:jc w:val="right"/>
        <w:rPr>
          <w:rFonts w:ascii="Calibri" w:hAnsi="Calibri"/>
          <w:sz w:val="10"/>
          <w:szCs w:val="22"/>
        </w:rPr>
      </w:pPr>
    </w:p>
    <w:p w:rsidR="00E2706C" w:rsidRPr="00E2706C" w:rsidRDefault="00E2706C" w:rsidP="00DF5F51">
      <w:pPr>
        <w:jc w:val="right"/>
        <w:rPr>
          <w:rFonts w:ascii="Calibri" w:hAnsi="Calibri"/>
          <w:szCs w:val="22"/>
        </w:rPr>
      </w:pPr>
    </w:p>
    <w:p w:rsidR="00DF5F51" w:rsidRPr="00247D11" w:rsidRDefault="00247D11" w:rsidP="00DF5F51">
      <w:pPr>
        <w:rPr>
          <w:rFonts w:ascii="Calibri" w:hAnsi="Calibri"/>
          <w:sz w:val="32"/>
          <w:szCs w:val="22"/>
        </w:rPr>
      </w:pPr>
      <w:r w:rsidRPr="00247D11">
        <w:rPr>
          <w:rFonts w:ascii="Calibri" w:hAnsi="Calibri"/>
          <w:sz w:val="32"/>
          <w:szCs w:val="22"/>
        </w:rPr>
        <w:t xml:space="preserve">Grupa Kapitałowa LUG S.A.: </w:t>
      </w:r>
    </w:p>
    <w:p w:rsidR="00247D11" w:rsidRPr="00247D11" w:rsidRDefault="00247D11" w:rsidP="00DF5F51">
      <w:pPr>
        <w:rPr>
          <w:rFonts w:ascii="Calibri" w:hAnsi="Calibri"/>
          <w:b/>
          <w:sz w:val="36"/>
          <w:szCs w:val="22"/>
        </w:rPr>
      </w:pPr>
      <w:r w:rsidRPr="00247D11">
        <w:rPr>
          <w:rFonts w:ascii="Calibri" w:hAnsi="Calibri"/>
          <w:b/>
          <w:sz w:val="36"/>
          <w:szCs w:val="22"/>
        </w:rPr>
        <w:t xml:space="preserve">Raport </w:t>
      </w:r>
      <w:r w:rsidR="00C44584">
        <w:rPr>
          <w:rFonts w:ascii="Calibri" w:hAnsi="Calibri"/>
          <w:b/>
          <w:sz w:val="36"/>
          <w:szCs w:val="22"/>
        </w:rPr>
        <w:t>okresowy</w:t>
      </w:r>
      <w:r w:rsidRPr="00247D11">
        <w:rPr>
          <w:rFonts w:ascii="Calibri" w:hAnsi="Calibri"/>
          <w:b/>
          <w:sz w:val="36"/>
          <w:szCs w:val="22"/>
        </w:rPr>
        <w:t xml:space="preserve"> za IV kwartał 2015 roku</w:t>
      </w:r>
    </w:p>
    <w:p w:rsidR="00FD5415" w:rsidRDefault="00FD5415" w:rsidP="00DF5F51">
      <w:pPr>
        <w:rPr>
          <w:rFonts w:ascii="Calibri" w:hAnsi="Calibri"/>
          <w:b/>
          <w:noProof/>
          <w:sz w:val="28"/>
          <w:szCs w:val="22"/>
        </w:rPr>
      </w:pPr>
    </w:p>
    <w:p w:rsidR="00247D11" w:rsidRDefault="00247D11" w:rsidP="00DF5F51">
      <w:pPr>
        <w:rPr>
          <w:rFonts w:ascii="Calibri" w:hAnsi="Calibri"/>
          <w:b/>
          <w:noProof/>
          <w:sz w:val="28"/>
          <w:szCs w:val="22"/>
        </w:rPr>
      </w:pPr>
    </w:p>
    <w:p w:rsidR="00247D11" w:rsidRPr="007B2AD5" w:rsidRDefault="00247D11" w:rsidP="00DF5F51">
      <w:pPr>
        <w:rPr>
          <w:rFonts w:ascii="Calibri" w:hAnsi="Calibri"/>
          <w:noProof/>
          <w:sz w:val="22"/>
          <w:szCs w:val="22"/>
        </w:rPr>
      </w:pPr>
      <w:r w:rsidRPr="007B2AD5">
        <w:rPr>
          <w:rFonts w:ascii="Calibri" w:hAnsi="Calibri"/>
          <w:noProof/>
          <w:sz w:val="22"/>
          <w:szCs w:val="22"/>
        </w:rPr>
        <w:t>Zielona Góra – Grupa Kapitałowa LUG S.A. (NewConnect: LUG) opublikowała wyniki finansowe za IV kwartał 2015 roku. Kluczowe informacje:</w:t>
      </w:r>
    </w:p>
    <w:p w:rsidR="00247D11" w:rsidRPr="007B2AD5" w:rsidRDefault="00247D11" w:rsidP="00DF5F51">
      <w:pPr>
        <w:rPr>
          <w:rFonts w:ascii="Calibri" w:hAnsi="Calibri"/>
          <w:noProof/>
          <w:sz w:val="22"/>
          <w:szCs w:val="22"/>
        </w:rPr>
      </w:pPr>
    </w:p>
    <w:p w:rsidR="00D34946" w:rsidRPr="007B2AD5" w:rsidRDefault="00D34946" w:rsidP="008A2022">
      <w:pPr>
        <w:pStyle w:val="Akapitzlist"/>
        <w:numPr>
          <w:ilvl w:val="0"/>
          <w:numId w:val="3"/>
        </w:numPr>
        <w:spacing w:after="0"/>
        <w:ind w:left="993"/>
        <w:jc w:val="both"/>
      </w:pPr>
      <w:r w:rsidRPr="007B2AD5">
        <w:rPr>
          <w:b/>
        </w:rPr>
        <w:t>skonsolidowane przychody ze sprzedaży</w:t>
      </w:r>
      <w:r w:rsidRPr="007B2AD5">
        <w:t xml:space="preserve"> </w:t>
      </w:r>
      <w:r w:rsidRPr="007B2AD5">
        <w:rPr>
          <w:b/>
        </w:rPr>
        <w:t>za 4Q’2015</w:t>
      </w:r>
      <w:r w:rsidRPr="007B2AD5">
        <w:t xml:space="preserve"> wyniosły 31 443,09 tys. zł, </w:t>
      </w:r>
      <w:r w:rsidR="008A2022" w:rsidRPr="007B2AD5">
        <w:br/>
      </w:r>
      <w:r w:rsidRPr="007B2AD5">
        <w:t xml:space="preserve">wzrost o 3,28% </w:t>
      </w:r>
      <w:r w:rsidR="00C02204" w:rsidRPr="007B2AD5">
        <w:t>r/r</w:t>
      </w:r>
      <w:r w:rsidRPr="007B2AD5">
        <w:t xml:space="preserve">; </w:t>
      </w:r>
    </w:p>
    <w:p w:rsidR="00D34946" w:rsidRPr="007B2AD5" w:rsidRDefault="00D34946" w:rsidP="008A2022">
      <w:pPr>
        <w:pStyle w:val="Akapitzlist"/>
        <w:numPr>
          <w:ilvl w:val="0"/>
          <w:numId w:val="3"/>
        </w:numPr>
        <w:ind w:left="993"/>
        <w:rPr>
          <w:noProof/>
        </w:rPr>
      </w:pPr>
      <w:r w:rsidRPr="007B2AD5">
        <w:rPr>
          <w:b/>
        </w:rPr>
        <w:t xml:space="preserve">skonsolidowane przychody ze sprzedaży za </w:t>
      </w:r>
      <w:r w:rsidR="00C02204" w:rsidRPr="007B2AD5">
        <w:rPr>
          <w:b/>
        </w:rPr>
        <w:t>1-4Q’</w:t>
      </w:r>
      <w:r w:rsidRPr="007B2AD5">
        <w:rPr>
          <w:b/>
        </w:rPr>
        <w:t>2015</w:t>
      </w:r>
      <w:r w:rsidRPr="007B2AD5">
        <w:t xml:space="preserve"> wyniosły 109 619,22 tys. zł, </w:t>
      </w:r>
      <w:r w:rsidR="008A2022" w:rsidRPr="007B2AD5">
        <w:br/>
      </w:r>
      <w:r w:rsidR="00C02204" w:rsidRPr="007B2AD5">
        <w:t>spadek</w:t>
      </w:r>
      <w:r w:rsidRPr="007B2AD5">
        <w:t xml:space="preserve"> o 3,75% </w:t>
      </w:r>
      <w:r w:rsidR="00C02204" w:rsidRPr="007B2AD5">
        <w:t>r/r</w:t>
      </w:r>
      <w:r w:rsidRPr="007B2AD5">
        <w:t>;</w:t>
      </w:r>
    </w:p>
    <w:p w:rsidR="00830F20" w:rsidRPr="007B2AD5" w:rsidRDefault="00830F20" w:rsidP="008A2022">
      <w:pPr>
        <w:pStyle w:val="Akapitzlist"/>
        <w:numPr>
          <w:ilvl w:val="0"/>
          <w:numId w:val="3"/>
        </w:numPr>
        <w:ind w:left="993"/>
        <w:rPr>
          <w:noProof/>
        </w:rPr>
      </w:pPr>
      <w:r w:rsidRPr="007B2AD5">
        <w:rPr>
          <w:b/>
        </w:rPr>
        <w:t>struktura przychodów ze sprzedaży za</w:t>
      </w:r>
      <w:r w:rsidRPr="007B2AD5">
        <w:t xml:space="preserve"> </w:t>
      </w:r>
      <w:r w:rsidRPr="007B2AD5">
        <w:rPr>
          <w:b/>
        </w:rPr>
        <w:t xml:space="preserve">4Q’2015 </w:t>
      </w:r>
      <w:r w:rsidRPr="007B2AD5">
        <w:t>zrównoważyła się: 50% - kraj, 50% - eksport;</w:t>
      </w:r>
    </w:p>
    <w:p w:rsidR="00830F20" w:rsidRPr="007B2AD5" w:rsidRDefault="00830F20" w:rsidP="008A2022">
      <w:pPr>
        <w:pStyle w:val="Akapitzlist"/>
        <w:ind w:left="993"/>
        <w:rPr>
          <w:noProof/>
        </w:rPr>
      </w:pPr>
      <w:r w:rsidRPr="007B2AD5">
        <w:rPr>
          <w:b/>
        </w:rPr>
        <w:t>za 1-4Q’2015</w:t>
      </w:r>
      <w:r w:rsidR="008A2022" w:rsidRPr="007B2AD5">
        <w:t xml:space="preserve"> ukształtowała się: 46,93% - kraj, 53,07% - eksport;</w:t>
      </w:r>
    </w:p>
    <w:p w:rsidR="00830F20" w:rsidRPr="007B2AD5" w:rsidRDefault="008A2022" w:rsidP="008A2022">
      <w:pPr>
        <w:pStyle w:val="Akapitzlist"/>
        <w:numPr>
          <w:ilvl w:val="0"/>
          <w:numId w:val="3"/>
        </w:numPr>
        <w:ind w:left="993"/>
        <w:rPr>
          <w:noProof/>
        </w:rPr>
      </w:pPr>
      <w:r w:rsidRPr="007B2AD5">
        <w:rPr>
          <w:b/>
          <w:noProof/>
        </w:rPr>
        <w:t>udział opraw LED</w:t>
      </w:r>
      <w:r w:rsidRPr="007B2AD5">
        <w:rPr>
          <w:noProof/>
        </w:rPr>
        <w:t xml:space="preserve"> w strukturze sprzedaży to 58%;</w:t>
      </w:r>
    </w:p>
    <w:p w:rsidR="00C02204" w:rsidRPr="007B2AD5" w:rsidRDefault="00D34946" w:rsidP="008A2022">
      <w:pPr>
        <w:pStyle w:val="Akapitzlist"/>
        <w:numPr>
          <w:ilvl w:val="0"/>
          <w:numId w:val="3"/>
        </w:numPr>
        <w:ind w:left="993"/>
        <w:rPr>
          <w:noProof/>
        </w:rPr>
      </w:pPr>
      <w:r w:rsidRPr="007B2AD5">
        <w:rPr>
          <w:b/>
          <w:noProof/>
        </w:rPr>
        <w:t>zysk ze sprzedaży brutto za 4Q’2015</w:t>
      </w:r>
      <w:r w:rsidRPr="007B2AD5">
        <w:rPr>
          <w:noProof/>
        </w:rPr>
        <w:t xml:space="preserve"> wyniósł </w:t>
      </w:r>
      <w:r w:rsidR="00C02204" w:rsidRPr="007B2AD5">
        <w:rPr>
          <w:rFonts w:cs="Calibri"/>
        </w:rPr>
        <w:t>14 410,27 tys. zł</w:t>
      </w:r>
      <w:r w:rsidRPr="007B2AD5">
        <w:rPr>
          <w:noProof/>
        </w:rPr>
        <w:t>, wzrost o 40,55%</w:t>
      </w:r>
      <w:r w:rsidR="00C02204" w:rsidRPr="007B2AD5">
        <w:rPr>
          <w:noProof/>
        </w:rPr>
        <w:t xml:space="preserve"> r/r,</w:t>
      </w:r>
    </w:p>
    <w:p w:rsidR="00C02204" w:rsidRPr="007B2AD5" w:rsidRDefault="00C02204" w:rsidP="008A2022">
      <w:pPr>
        <w:pStyle w:val="Akapitzlist"/>
        <w:numPr>
          <w:ilvl w:val="0"/>
          <w:numId w:val="3"/>
        </w:numPr>
        <w:ind w:left="993"/>
        <w:rPr>
          <w:noProof/>
        </w:rPr>
      </w:pPr>
      <w:r w:rsidRPr="007B2AD5">
        <w:rPr>
          <w:b/>
          <w:noProof/>
        </w:rPr>
        <w:t xml:space="preserve">zysk ze sprzedaży brutto </w:t>
      </w:r>
      <w:r w:rsidRPr="007B2AD5">
        <w:rPr>
          <w:b/>
        </w:rPr>
        <w:t xml:space="preserve">za 1-4Q’2015 </w:t>
      </w:r>
      <w:r w:rsidRPr="007B2AD5">
        <w:rPr>
          <w:noProof/>
        </w:rPr>
        <w:t xml:space="preserve">wyniósł </w:t>
      </w:r>
      <w:r w:rsidRPr="007B2AD5">
        <w:rPr>
          <w:rFonts w:cs="Calibri"/>
        </w:rPr>
        <w:t>41 438,67 tys. zł, wzrost +17,57% r/r;</w:t>
      </w:r>
    </w:p>
    <w:p w:rsidR="00830F20" w:rsidRPr="007B2AD5" w:rsidRDefault="00830F20" w:rsidP="008A2022">
      <w:pPr>
        <w:pStyle w:val="Akapitzlist"/>
        <w:numPr>
          <w:ilvl w:val="0"/>
          <w:numId w:val="3"/>
        </w:numPr>
        <w:ind w:left="993"/>
        <w:rPr>
          <w:noProof/>
        </w:rPr>
      </w:pPr>
      <w:r w:rsidRPr="007B2AD5">
        <w:rPr>
          <w:rFonts w:cs="Calibri"/>
          <w:b/>
        </w:rPr>
        <w:t xml:space="preserve">zysk netto za 4Q’2015 </w:t>
      </w:r>
      <w:r w:rsidRPr="007B2AD5">
        <w:rPr>
          <w:rFonts w:cs="Calibri"/>
        </w:rPr>
        <w:t>wyniósł 1 922,56 tys. zł, spadek o 7,26% r/r;</w:t>
      </w:r>
    </w:p>
    <w:p w:rsidR="00830F20" w:rsidRPr="007B2AD5" w:rsidRDefault="00830F20" w:rsidP="00E95E8B">
      <w:pPr>
        <w:pStyle w:val="Akapitzlist"/>
        <w:numPr>
          <w:ilvl w:val="0"/>
          <w:numId w:val="3"/>
        </w:numPr>
        <w:spacing w:after="0"/>
        <w:ind w:left="992" w:hanging="357"/>
        <w:rPr>
          <w:noProof/>
        </w:rPr>
      </w:pPr>
      <w:r w:rsidRPr="007B2AD5">
        <w:rPr>
          <w:rFonts w:cs="Calibri"/>
          <w:b/>
        </w:rPr>
        <w:t xml:space="preserve">zysk netto za 1- 4Q’2015 </w:t>
      </w:r>
      <w:r w:rsidRPr="007B2AD5">
        <w:rPr>
          <w:rFonts w:cs="Calibri"/>
        </w:rPr>
        <w:t>wyniósł 4 000,53 tys. zł, 100% realizacji r/r.</w:t>
      </w:r>
    </w:p>
    <w:p w:rsidR="00830F20" w:rsidRPr="00E95E8B" w:rsidRDefault="00830F20" w:rsidP="00DF5F51">
      <w:pPr>
        <w:rPr>
          <w:rFonts w:ascii="Calibri" w:hAnsi="Calibri"/>
          <w:b/>
          <w:noProof/>
          <w:sz w:val="14"/>
          <w:szCs w:val="22"/>
        </w:rPr>
      </w:pPr>
    </w:p>
    <w:p w:rsidR="00247D11" w:rsidRDefault="00317B6E" w:rsidP="00DF5F51">
      <w:pPr>
        <w:rPr>
          <w:rFonts w:ascii="Calibri" w:hAnsi="Calibri"/>
          <w:b/>
          <w:noProof/>
          <w:szCs w:val="22"/>
        </w:rPr>
      </w:pPr>
      <w:r w:rsidRPr="00317B6E">
        <w:rPr>
          <w:rFonts w:ascii="Calibri" w:hAnsi="Calibri"/>
          <w:b/>
          <w:noProof/>
          <w:szCs w:val="22"/>
        </w:rPr>
        <w:t>Podsumowanie</w:t>
      </w:r>
      <w:r>
        <w:rPr>
          <w:rFonts w:ascii="Calibri" w:hAnsi="Calibri"/>
          <w:b/>
          <w:noProof/>
          <w:szCs w:val="22"/>
        </w:rPr>
        <w:t xml:space="preserve"> </w:t>
      </w:r>
    </w:p>
    <w:p w:rsidR="00317B6E" w:rsidRDefault="00317B6E" w:rsidP="00DF5F51">
      <w:pPr>
        <w:rPr>
          <w:rFonts w:ascii="Calibri" w:hAnsi="Calibri"/>
          <w:b/>
          <w:noProof/>
          <w:szCs w:val="22"/>
        </w:rPr>
      </w:pPr>
    </w:p>
    <w:p w:rsidR="00830F20" w:rsidRPr="007B2AD5" w:rsidRDefault="00830F20" w:rsidP="008A2022">
      <w:pPr>
        <w:jc w:val="both"/>
        <w:rPr>
          <w:rFonts w:ascii="Calibri" w:hAnsi="Calibri"/>
          <w:noProof/>
          <w:sz w:val="22"/>
          <w:szCs w:val="22"/>
        </w:rPr>
      </w:pPr>
      <w:r w:rsidRPr="007B2AD5">
        <w:rPr>
          <w:rFonts w:ascii="Calibri" w:hAnsi="Calibri"/>
          <w:noProof/>
          <w:sz w:val="22"/>
          <w:szCs w:val="22"/>
        </w:rPr>
        <w:t>W 2015 roku Grupa Kapitałowa LUG S.A. funkcjonowała pod wpływem kilku czynników natury geopolitycznej oraz z zakres</w:t>
      </w:r>
      <w:r w:rsidR="008A2022" w:rsidRPr="007B2AD5">
        <w:rPr>
          <w:rFonts w:ascii="Calibri" w:hAnsi="Calibri"/>
          <w:noProof/>
          <w:sz w:val="22"/>
          <w:szCs w:val="22"/>
        </w:rPr>
        <w:t>u</w:t>
      </w:r>
      <w:r w:rsidRPr="007B2AD5">
        <w:rPr>
          <w:rFonts w:ascii="Calibri" w:hAnsi="Calibri"/>
          <w:noProof/>
          <w:sz w:val="22"/>
          <w:szCs w:val="22"/>
        </w:rPr>
        <w:t xml:space="preserve"> rozwoju organnicznego. </w:t>
      </w:r>
      <w:r w:rsidR="008A2022" w:rsidRPr="007B2AD5">
        <w:rPr>
          <w:rFonts w:ascii="Calibri" w:hAnsi="Calibri"/>
          <w:noProof/>
          <w:sz w:val="22"/>
          <w:szCs w:val="22"/>
        </w:rPr>
        <w:t>Najważniejszym z nich był wpływ kryzysu ukraińskiego i rosyjskich sankcji gospodarczych na fukcjonowanie firmy na tych rynkach.</w:t>
      </w:r>
    </w:p>
    <w:p w:rsidR="00830F20" w:rsidRPr="007B2AD5" w:rsidRDefault="00830F20" w:rsidP="008A2022">
      <w:pPr>
        <w:jc w:val="both"/>
        <w:rPr>
          <w:rFonts w:ascii="Calibri" w:hAnsi="Calibri"/>
          <w:noProof/>
          <w:sz w:val="22"/>
          <w:szCs w:val="22"/>
        </w:rPr>
      </w:pPr>
    </w:p>
    <w:p w:rsidR="00830F20" w:rsidRPr="007B2AD5" w:rsidRDefault="008A2022" w:rsidP="008A2022">
      <w:pPr>
        <w:jc w:val="both"/>
        <w:rPr>
          <w:rFonts w:asciiTheme="minorHAnsi" w:hAnsiTheme="minorHAnsi"/>
          <w:sz w:val="22"/>
          <w:szCs w:val="20"/>
        </w:rPr>
      </w:pPr>
      <w:r w:rsidRPr="007B2AD5">
        <w:rPr>
          <w:rFonts w:asciiTheme="minorHAnsi" w:hAnsiTheme="minorHAnsi"/>
          <w:noProof/>
          <w:sz w:val="22"/>
          <w:szCs w:val="22"/>
        </w:rPr>
        <w:t xml:space="preserve">- </w:t>
      </w:r>
      <w:r w:rsidRPr="007B2AD5">
        <w:rPr>
          <w:rFonts w:asciiTheme="minorHAnsi" w:hAnsiTheme="minorHAnsi"/>
          <w:i/>
          <w:sz w:val="22"/>
          <w:szCs w:val="20"/>
        </w:rPr>
        <w:t>W wyniku ochłodzenia stosunków biznesowych na linii Polska – Rosja utraciliśmy możliwość realizacji niektórych inwestycji, a także straciliśmy wypracowany potencjał rynkowy. W chwili obecnej z przyczyn politycznych nie możemy realizować standardowych poziomów sprzedaży w Rosji i na Ukrainie</w:t>
      </w:r>
      <w:r w:rsidR="007B2AD5" w:rsidRPr="007B2AD5">
        <w:rPr>
          <w:rFonts w:asciiTheme="minorHAnsi" w:hAnsiTheme="minorHAnsi"/>
          <w:i/>
          <w:sz w:val="22"/>
          <w:szCs w:val="20"/>
        </w:rPr>
        <w:t xml:space="preserve">. Naszą mocną stroną jest jednak geograficzna dywersyfikacja przychodów, która pozwoliła nam przerzucić ciężar wyników na inne rynki </w:t>
      </w:r>
      <w:r w:rsidRPr="007B2AD5">
        <w:rPr>
          <w:rFonts w:asciiTheme="minorHAnsi" w:hAnsiTheme="minorHAnsi"/>
          <w:i/>
          <w:sz w:val="22"/>
          <w:szCs w:val="20"/>
        </w:rPr>
        <w:t xml:space="preserve">– </w:t>
      </w:r>
      <w:r w:rsidRPr="007B2AD5">
        <w:rPr>
          <w:rFonts w:asciiTheme="minorHAnsi" w:hAnsiTheme="minorHAnsi"/>
          <w:sz w:val="22"/>
          <w:szCs w:val="20"/>
        </w:rPr>
        <w:t xml:space="preserve">komentuje Ryszard </w:t>
      </w:r>
      <w:proofErr w:type="spellStart"/>
      <w:r w:rsidRPr="007B2AD5">
        <w:rPr>
          <w:rFonts w:asciiTheme="minorHAnsi" w:hAnsiTheme="minorHAnsi"/>
          <w:sz w:val="22"/>
          <w:szCs w:val="20"/>
        </w:rPr>
        <w:t>Wtorkowski</w:t>
      </w:r>
      <w:proofErr w:type="spellEnd"/>
      <w:r w:rsidRPr="007B2AD5">
        <w:rPr>
          <w:rFonts w:asciiTheme="minorHAnsi" w:hAnsiTheme="minorHAnsi"/>
          <w:sz w:val="22"/>
          <w:szCs w:val="20"/>
        </w:rPr>
        <w:t>, Prezes Zarządu.</w:t>
      </w:r>
    </w:p>
    <w:p w:rsidR="008A2022" w:rsidRDefault="008A2022" w:rsidP="008A2022">
      <w:pPr>
        <w:jc w:val="both"/>
        <w:rPr>
          <w:rFonts w:asciiTheme="minorHAnsi" w:hAnsiTheme="minorHAnsi"/>
          <w:szCs w:val="20"/>
        </w:rPr>
      </w:pPr>
    </w:p>
    <w:p w:rsidR="008A2022" w:rsidRPr="008A2022" w:rsidRDefault="006217BE" w:rsidP="007B2AD5">
      <w:pPr>
        <w:spacing w:after="240" w:line="276" w:lineRule="auto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Konflikt wschodni znalazł</w:t>
      </w:r>
      <w:r w:rsidR="007B2AD5">
        <w:rPr>
          <w:rFonts w:asciiTheme="minorHAnsi" w:hAnsiTheme="minorHAnsi"/>
          <w:sz w:val="22"/>
          <w:szCs w:val="20"/>
        </w:rPr>
        <w:t xml:space="preserve"> </w:t>
      </w:r>
      <w:bookmarkStart w:id="0" w:name="_GoBack"/>
      <w:bookmarkEnd w:id="0"/>
      <w:r w:rsidR="007B2AD5">
        <w:rPr>
          <w:rFonts w:asciiTheme="minorHAnsi" w:hAnsiTheme="minorHAnsi"/>
          <w:sz w:val="22"/>
          <w:szCs w:val="20"/>
        </w:rPr>
        <w:t xml:space="preserve">odzwierciedlenie </w:t>
      </w:r>
      <w:r w:rsidR="008A2022" w:rsidRPr="008A2022">
        <w:rPr>
          <w:rFonts w:asciiTheme="minorHAnsi" w:hAnsiTheme="minorHAnsi"/>
          <w:sz w:val="22"/>
          <w:szCs w:val="20"/>
        </w:rPr>
        <w:t>na prz</w:t>
      </w:r>
      <w:r w:rsidR="007B2AD5">
        <w:rPr>
          <w:rFonts w:asciiTheme="minorHAnsi" w:hAnsiTheme="minorHAnsi"/>
          <w:sz w:val="22"/>
          <w:szCs w:val="20"/>
        </w:rPr>
        <w:t xml:space="preserve">ychodach ze sprzedaży, które łącznie na rynku rosyjskim i ukraińskim </w:t>
      </w:r>
      <w:r w:rsidR="008A2022" w:rsidRPr="008A2022">
        <w:rPr>
          <w:rFonts w:asciiTheme="minorHAnsi" w:hAnsiTheme="minorHAnsi"/>
          <w:sz w:val="22"/>
          <w:szCs w:val="20"/>
        </w:rPr>
        <w:t xml:space="preserve">spadły w 2015 roku o ponad 65% r/r. </w:t>
      </w:r>
      <w:r w:rsidR="007B2AD5">
        <w:rPr>
          <w:rFonts w:asciiTheme="minorHAnsi" w:hAnsiTheme="minorHAnsi"/>
          <w:sz w:val="22"/>
          <w:szCs w:val="20"/>
        </w:rPr>
        <w:t xml:space="preserve">Ograniczenie negatywnych skutków  wskazanych spadków było możliwe dzięki </w:t>
      </w:r>
      <w:r w:rsidR="008A2022" w:rsidRPr="008A2022">
        <w:rPr>
          <w:rFonts w:asciiTheme="minorHAnsi" w:hAnsiTheme="minorHAnsi"/>
          <w:sz w:val="22"/>
          <w:szCs w:val="20"/>
        </w:rPr>
        <w:t>zintensyfikowan</w:t>
      </w:r>
      <w:r w:rsidR="007B2AD5">
        <w:rPr>
          <w:rFonts w:asciiTheme="minorHAnsi" w:hAnsiTheme="minorHAnsi"/>
          <w:sz w:val="22"/>
          <w:szCs w:val="20"/>
        </w:rPr>
        <w:t xml:space="preserve">iu działań </w:t>
      </w:r>
      <w:r w:rsidR="007B2AD5">
        <w:rPr>
          <w:rFonts w:asciiTheme="minorHAnsi" w:hAnsiTheme="minorHAnsi" w:cs="Calibri"/>
          <w:sz w:val="22"/>
        </w:rPr>
        <w:t xml:space="preserve">w państwach Unii Europejskiej, gdzie przychody </w:t>
      </w:r>
      <w:r w:rsidR="008A2022" w:rsidRPr="008A2022">
        <w:rPr>
          <w:rFonts w:asciiTheme="minorHAnsi" w:hAnsiTheme="minorHAnsi" w:cs="Calibri"/>
          <w:sz w:val="22"/>
        </w:rPr>
        <w:t xml:space="preserve">wzrosły o 2,5% r/r, </w:t>
      </w:r>
      <w:r w:rsidR="007B2AD5">
        <w:rPr>
          <w:rFonts w:asciiTheme="minorHAnsi" w:hAnsiTheme="minorHAnsi" w:cs="Calibri"/>
          <w:sz w:val="22"/>
        </w:rPr>
        <w:t>oraz na innych rynkach zagranicznych, gdzie</w:t>
      </w:r>
      <w:r w:rsidR="008A2022" w:rsidRPr="008A2022">
        <w:rPr>
          <w:rFonts w:asciiTheme="minorHAnsi" w:hAnsiTheme="minorHAnsi" w:cs="Calibri"/>
          <w:sz w:val="22"/>
        </w:rPr>
        <w:t xml:space="preserve"> dynamika przychodów </w:t>
      </w:r>
      <w:r w:rsidR="007B2AD5">
        <w:rPr>
          <w:rFonts w:asciiTheme="minorHAnsi" w:hAnsiTheme="minorHAnsi" w:cs="Calibri"/>
          <w:sz w:val="22"/>
        </w:rPr>
        <w:t>wzrosła o</w:t>
      </w:r>
      <w:r w:rsidR="008A2022" w:rsidRPr="008A2022">
        <w:rPr>
          <w:rFonts w:asciiTheme="minorHAnsi" w:hAnsiTheme="minorHAnsi" w:cs="Calibri"/>
          <w:sz w:val="22"/>
        </w:rPr>
        <w:t xml:space="preserve"> ok. 40% r/r. Pozwoliło to na wypracowanie w IV kwartale 2015 roku całkowitych przychodów </w:t>
      </w:r>
      <w:r w:rsidR="008A2022" w:rsidRPr="008A2022">
        <w:rPr>
          <w:rFonts w:asciiTheme="minorHAnsi" w:hAnsiTheme="minorHAnsi" w:cs="Calibri"/>
          <w:sz w:val="22"/>
        </w:rPr>
        <w:lastRenderedPageBreak/>
        <w:t>ze sprzedaży o 3,28% wyższych niż w IV kwartale 2014 roku. W ujęciu narastającym po czterech kwartałach roku przychody ze sprzedaży spadły o 3,75% r/r.</w:t>
      </w:r>
    </w:p>
    <w:p w:rsidR="00D34946" w:rsidRDefault="007B2AD5" w:rsidP="003F23F4">
      <w:pPr>
        <w:jc w:val="both"/>
        <w:rPr>
          <w:rFonts w:asciiTheme="minorHAnsi" w:hAnsiTheme="minorHAnsi" w:cs="Calibri"/>
          <w:sz w:val="22"/>
        </w:rPr>
      </w:pPr>
      <w:r w:rsidRPr="007B2AD5">
        <w:rPr>
          <w:rFonts w:asciiTheme="minorHAnsi" w:hAnsiTheme="minorHAnsi"/>
          <w:sz w:val="22"/>
        </w:rPr>
        <w:t xml:space="preserve">Drugim wyzwaniem determinującym dalsze możliwości rozwoju organicznego była </w:t>
      </w:r>
      <w:r w:rsidRPr="007B2AD5">
        <w:rPr>
          <w:rFonts w:asciiTheme="minorHAnsi" w:hAnsiTheme="minorHAnsi" w:cs="Calibri"/>
          <w:sz w:val="22"/>
        </w:rPr>
        <w:t>poprawa rentowności ze sprzedaży w zakresie podstawowej działalności</w:t>
      </w:r>
      <w:r w:rsidR="003F23F4">
        <w:rPr>
          <w:rFonts w:asciiTheme="minorHAnsi" w:hAnsiTheme="minorHAnsi" w:cs="Calibri"/>
          <w:sz w:val="22"/>
        </w:rPr>
        <w:t>.</w:t>
      </w:r>
    </w:p>
    <w:p w:rsidR="003F23F4" w:rsidRDefault="003F23F4" w:rsidP="003F23F4">
      <w:pPr>
        <w:jc w:val="both"/>
        <w:rPr>
          <w:rFonts w:asciiTheme="minorHAnsi" w:hAnsiTheme="minorHAnsi" w:cs="Calibri"/>
          <w:sz w:val="22"/>
        </w:rPr>
      </w:pPr>
    </w:p>
    <w:p w:rsidR="00D34946" w:rsidRDefault="003F23F4" w:rsidP="003F23F4">
      <w:pPr>
        <w:jc w:val="both"/>
      </w:pPr>
      <w:r w:rsidRPr="003F23F4">
        <w:rPr>
          <w:rFonts w:asciiTheme="minorHAnsi" w:hAnsiTheme="minorHAnsi" w:cs="Calibri"/>
          <w:sz w:val="22"/>
          <w:szCs w:val="22"/>
        </w:rPr>
        <w:t xml:space="preserve">- </w:t>
      </w:r>
      <w:r w:rsidRPr="003F23F4">
        <w:rPr>
          <w:rFonts w:asciiTheme="minorHAnsi" w:hAnsiTheme="minorHAnsi"/>
          <w:i/>
          <w:sz w:val="22"/>
          <w:szCs w:val="20"/>
        </w:rPr>
        <w:t>Podobnie jak większość dyrektorów finansowych w Europie</w:t>
      </w:r>
      <w:r w:rsidRPr="003F23F4">
        <w:rPr>
          <w:rStyle w:val="Odwoanieprzypisudolnego"/>
          <w:rFonts w:asciiTheme="minorHAnsi" w:hAnsiTheme="minorHAnsi"/>
          <w:i/>
          <w:sz w:val="22"/>
          <w:szCs w:val="20"/>
        </w:rPr>
        <w:footnoteReference w:id="1"/>
      </w:r>
      <w:r w:rsidRPr="003F23F4">
        <w:rPr>
          <w:rFonts w:asciiTheme="minorHAnsi" w:hAnsiTheme="minorHAnsi"/>
          <w:i/>
          <w:sz w:val="22"/>
          <w:szCs w:val="20"/>
        </w:rPr>
        <w:t xml:space="preserve"> zmodyfikowaliśmy naszą hierarchię celów i dotychczasowy priorytet maksymalizacji przychodów ze sprzedaży zmieniliśmy na redukcję kosztów bezpośrednich produkcji. Realizacja tego celu była możliwa dzięki budowie nowej fabryki i zwiększeniu naszej niezależności w zakresie produkcji  komponentów elektronicznych. Dzięki temu zoptymalizowaliśmy strukturę kosztów bezpośrednich, a pozytywny efekt tych działań widoczny jest na poziomie zysku ze sprzedaży brutto</w:t>
      </w:r>
      <w:r>
        <w:rPr>
          <w:rFonts w:asciiTheme="minorHAnsi" w:hAnsiTheme="minorHAnsi"/>
          <w:i/>
          <w:sz w:val="22"/>
          <w:szCs w:val="20"/>
        </w:rPr>
        <w:t xml:space="preserve"> – </w:t>
      </w:r>
      <w:r w:rsidRPr="003F23F4">
        <w:rPr>
          <w:rFonts w:asciiTheme="minorHAnsi" w:hAnsiTheme="minorHAnsi"/>
          <w:sz w:val="22"/>
          <w:szCs w:val="20"/>
        </w:rPr>
        <w:t xml:space="preserve">wyjaśnia Ryszard </w:t>
      </w:r>
      <w:proofErr w:type="spellStart"/>
      <w:r w:rsidRPr="003F23F4">
        <w:rPr>
          <w:rFonts w:asciiTheme="minorHAnsi" w:hAnsiTheme="minorHAnsi"/>
          <w:sz w:val="22"/>
          <w:szCs w:val="20"/>
        </w:rPr>
        <w:t>Wtorkowski</w:t>
      </w:r>
      <w:proofErr w:type="spellEnd"/>
      <w:r w:rsidRPr="003F23F4">
        <w:rPr>
          <w:rFonts w:asciiTheme="minorHAnsi" w:hAnsiTheme="minorHAnsi"/>
          <w:sz w:val="22"/>
          <w:szCs w:val="20"/>
        </w:rPr>
        <w:t>.</w:t>
      </w:r>
    </w:p>
    <w:p w:rsidR="00D34946" w:rsidRDefault="00D34946" w:rsidP="00DF5F51"/>
    <w:p w:rsidR="003F23F4" w:rsidRDefault="003F23F4" w:rsidP="003F23F4">
      <w:pPr>
        <w:jc w:val="both"/>
        <w:rPr>
          <w:rFonts w:asciiTheme="minorHAnsi" w:hAnsiTheme="minorHAnsi" w:cs="Calibri"/>
          <w:i/>
          <w:sz w:val="22"/>
        </w:rPr>
      </w:pPr>
      <w:r w:rsidRPr="003F23F4">
        <w:rPr>
          <w:rFonts w:asciiTheme="minorHAnsi" w:hAnsiTheme="minorHAnsi"/>
          <w:sz w:val="22"/>
        </w:rPr>
        <w:t xml:space="preserve">Zysk </w:t>
      </w:r>
      <w:r>
        <w:rPr>
          <w:rFonts w:asciiTheme="minorHAnsi" w:hAnsiTheme="minorHAnsi"/>
          <w:sz w:val="22"/>
        </w:rPr>
        <w:t xml:space="preserve">ze sprzedaży brutto w 4Q’2015 </w:t>
      </w:r>
      <w:r w:rsidRPr="003F23F4">
        <w:rPr>
          <w:rFonts w:asciiTheme="minorHAnsi" w:hAnsiTheme="minorHAnsi"/>
          <w:i/>
          <w:sz w:val="22"/>
          <w:szCs w:val="20"/>
        </w:rPr>
        <w:t xml:space="preserve">wzrósł o ponad 40% r/r, a w całym 2015 roku o  17,57%. </w:t>
      </w:r>
      <w:r w:rsidRPr="003F23F4">
        <w:rPr>
          <w:rFonts w:asciiTheme="minorHAnsi" w:hAnsiTheme="minorHAnsi"/>
          <w:i/>
          <w:sz w:val="22"/>
          <w:szCs w:val="20"/>
        </w:rPr>
        <w:br/>
        <w:t xml:space="preserve">W następstwie tego </w:t>
      </w:r>
      <w:r w:rsidRPr="003F23F4">
        <w:rPr>
          <w:rFonts w:asciiTheme="minorHAnsi" w:hAnsiTheme="minorHAnsi" w:cs="Calibri"/>
          <w:i/>
          <w:sz w:val="22"/>
        </w:rPr>
        <w:t xml:space="preserve">marża na sprzedaży brutto, znacząco wzrosła i w samym </w:t>
      </w:r>
      <w:r>
        <w:rPr>
          <w:rFonts w:asciiTheme="minorHAnsi" w:hAnsiTheme="minorHAnsi" w:cs="Calibri"/>
          <w:i/>
          <w:sz w:val="22"/>
        </w:rPr>
        <w:t>4Q’</w:t>
      </w:r>
      <w:r w:rsidRPr="003F23F4">
        <w:rPr>
          <w:rFonts w:asciiTheme="minorHAnsi" w:hAnsiTheme="minorHAnsi" w:cs="Calibri"/>
          <w:i/>
          <w:sz w:val="22"/>
        </w:rPr>
        <w:t xml:space="preserve"> 2015 roku wyniosła 45,83%, natomiast w całym 2015 roku ukształtowała się na poziomie 37,80%. </w:t>
      </w:r>
    </w:p>
    <w:p w:rsidR="003F23F4" w:rsidRDefault="003F23F4" w:rsidP="003F23F4">
      <w:pPr>
        <w:jc w:val="both"/>
        <w:rPr>
          <w:rFonts w:asciiTheme="minorHAnsi" w:hAnsiTheme="minorHAnsi" w:cs="Calibri"/>
          <w:i/>
          <w:sz w:val="22"/>
        </w:rPr>
      </w:pPr>
    </w:p>
    <w:p w:rsidR="003F23F4" w:rsidRPr="003F23F4" w:rsidRDefault="003F23F4" w:rsidP="003F23F4">
      <w:pPr>
        <w:jc w:val="both"/>
        <w:rPr>
          <w:rFonts w:asciiTheme="minorHAnsi" w:hAnsiTheme="minorHAnsi" w:cs="Calibri"/>
          <w:sz w:val="22"/>
        </w:rPr>
      </w:pPr>
      <w:r w:rsidRPr="003F23F4">
        <w:rPr>
          <w:rFonts w:asciiTheme="minorHAnsi" w:hAnsiTheme="minorHAnsi" w:cs="Calibri"/>
          <w:sz w:val="22"/>
        </w:rPr>
        <w:t xml:space="preserve">Dodatkowym czynnikiem kształtującym poziom realizowanych marż jest asortymentowa struktura sprzedaży, w której dominującą rolę odgrywają produkty </w:t>
      </w:r>
      <w:proofErr w:type="spellStart"/>
      <w:r w:rsidRPr="003F23F4">
        <w:rPr>
          <w:rFonts w:asciiTheme="minorHAnsi" w:hAnsiTheme="minorHAnsi" w:cs="Calibri"/>
          <w:sz w:val="22"/>
        </w:rPr>
        <w:t>ledowe</w:t>
      </w:r>
      <w:proofErr w:type="spellEnd"/>
      <w:r w:rsidRPr="003F23F4">
        <w:rPr>
          <w:rFonts w:asciiTheme="minorHAnsi" w:hAnsiTheme="minorHAnsi" w:cs="Calibri"/>
          <w:sz w:val="22"/>
        </w:rPr>
        <w:t xml:space="preserve">. </w:t>
      </w:r>
    </w:p>
    <w:p w:rsidR="003F23F4" w:rsidRDefault="003F23F4" w:rsidP="003F23F4">
      <w:pPr>
        <w:jc w:val="both"/>
        <w:rPr>
          <w:rFonts w:asciiTheme="minorHAnsi" w:hAnsiTheme="minorHAnsi" w:cs="Calibri"/>
          <w:i/>
          <w:sz w:val="22"/>
        </w:rPr>
      </w:pPr>
    </w:p>
    <w:p w:rsidR="00D34946" w:rsidRPr="003F23F4" w:rsidRDefault="003F23F4" w:rsidP="003F23F4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 w:cs="Calibri"/>
          <w:i/>
          <w:sz w:val="22"/>
        </w:rPr>
        <w:t xml:space="preserve">- Rynek LED nabiera tempa, a sprzedaż naszych opraw </w:t>
      </w:r>
      <w:proofErr w:type="spellStart"/>
      <w:r>
        <w:rPr>
          <w:rFonts w:asciiTheme="minorHAnsi" w:hAnsiTheme="minorHAnsi" w:cs="Calibri"/>
          <w:i/>
          <w:sz w:val="22"/>
        </w:rPr>
        <w:t>ledowych</w:t>
      </w:r>
      <w:proofErr w:type="spellEnd"/>
      <w:r>
        <w:rPr>
          <w:rFonts w:asciiTheme="minorHAnsi" w:hAnsiTheme="minorHAnsi" w:cs="Calibri"/>
          <w:i/>
          <w:sz w:val="22"/>
        </w:rPr>
        <w:t xml:space="preserve"> rozpędza się razem z nim. N</w:t>
      </w:r>
      <w:r w:rsidRPr="003F23F4">
        <w:rPr>
          <w:rFonts w:asciiTheme="minorHAnsi" w:hAnsiTheme="minorHAnsi" w:cs="Calibri"/>
          <w:i/>
          <w:sz w:val="22"/>
        </w:rPr>
        <w:t xml:space="preserve">a koniec 2015 roku udział opraw </w:t>
      </w:r>
      <w:proofErr w:type="spellStart"/>
      <w:r w:rsidRPr="003F23F4">
        <w:rPr>
          <w:rFonts w:asciiTheme="minorHAnsi" w:hAnsiTheme="minorHAnsi" w:cs="Calibri"/>
          <w:i/>
          <w:sz w:val="22"/>
        </w:rPr>
        <w:t>ledowych</w:t>
      </w:r>
      <w:proofErr w:type="spellEnd"/>
      <w:r w:rsidRPr="003F23F4">
        <w:rPr>
          <w:rFonts w:asciiTheme="minorHAnsi" w:hAnsiTheme="minorHAnsi" w:cs="Calibri"/>
          <w:i/>
          <w:sz w:val="22"/>
        </w:rPr>
        <w:t xml:space="preserve"> w całkowitych przych</w:t>
      </w:r>
      <w:r>
        <w:rPr>
          <w:rFonts w:asciiTheme="minorHAnsi" w:hAnsiTheme="minorHAnsi" w:cs="Calibri"/>
          <w:i/>
          <w:sz w:val="22"/>
        </w:rPr>
        <w:t xml:space="preserve">odach ze sprzedaży stanowił 58%, gdy jeszcze rok wcześniej było to </w:t>
      </w:r>
      <w:r w:rsidRPr="003F23F4">
        <w:rPr>
          <w:rFonts w:asciiTheme="minorHAnsi" w:hAnsiTheme="minorHAnsi" w:cs="Calibri"/>
          <w:i/>
          <w:sz w:val="22"/>
        </w:rPr>
        <w:t>tylko 37</w:t>
      </w:r>
      <w:r>
        <w:rPr>
          <w:rFonts w:asciiTheme="minorHAnsi" w:hAnsiTheme="minorHAnsi" w:cs="Calibri"/>
          <w:i/>
          <w:sz w:val="22"/>
        </w:rPr>
        <w:t xml:space="preserve">% - mówi Ryszard </w:t>
      </w:r>
      <w:proofErr w:type="spellStart"/>
      <w:r>
        <w:rPr>
          <w:rFonts w:asciiTheme="minorHAnsi" w:hAnsiTheme="minorHAnsi" w:cs="Calibri"/>
          <w:i/>
          <w:sz w:val="22"/>
        </w:rPr>
        <w:t>Wtorkowski</w:t>
      </w:r>
      <w:proofErr w:type="spellEnd"/>
      <w:r>
        <w:rPr>
          <w:rFonts w:asciiTheme="minorHAnsi" w:hAnsiTheme="minorHAnsi" w:cs="Calibri"/>
          <w:i/>
          <w:sz w:val="22"/>
        </w:rPr>
        <w:t>.</w:t>
      </w:r>
    </w:p>
    <w:p w:rsidR="003F23F4" w:rsidRDefault="003F23F4" w:rsidP="00DF5F51">
      <w:pPr>
        <w:rPr>
          <w:rFonts w:ascii="Calibri" w:hAnsi="Calibri"/>
          <w:b/>
          <w:noProof/>
          <w:szCs w:val="22"/>
        </w:rPr>
      </w:pPr>
    </w:p>
    <w:p w:rsidR="003F23F4" w:rsidRPr="003F23F4" w:rsidRDefault="003F23F4" w:rsidP="00E95E8B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 xml:space="preserve">W 4Q’2015 roku LUG zakończył budowe drugiej fabryki, będącej </w:t>
      </w:r>
      <w:r w:rsidR="00E95E8B">
        <w:rPr>
          <w:rFonts w:ascii="Calibri" w:hAnsi="Calibri"/>
          <w:noProof/>
          <w:sz w:val="22"/>
          <w:szCs w:val="22"/>
        </w:rPr>
        <w:t xml:space="preserve">centrum badawczo-rozwojowym </w:t>
      </w:r>
      <w:r w:rsidR="00E95E8B">
        <w:rPr>
          <w:rFonts w:ascii="Calibri" w:hAnsi="Calibri"/>
          <w:noProof/>
          <w:sz w:val="22"/>
          <w:szCs w:val="22"/>
        </w:rPr>
        <w:br/>
        <w:t>z laboratorium foto-optycznym oraz kompleksem produkcyjno-magazynowym. Przeniesienie produkcji komponentów elektronicznych do nowej lokalizacji nastąpiło w styczniu 2016 roku.</w:t>
      </w:r>
    </w:p>
    <w:p w:rsidR="003F23F4" w:rsidRDefault="003F23F4" w:rsidP="00DF5F51">
      <w:pPr>
        <w:rPr>
          <w:rFonts w:ascii="Calibri" w:hAnsi="Calibri"/>
          <w:b/>
          <w:noProof/>
          <w:szCs w:val="22"/>
        </w:rPr>
      </w:pPr>
    </w:p>
    <w:p w:rsidR="00247D11" w:rsidRDefault="00247D11" w:rsidP="00DF5F51">
      <w:pPr>
        <w:rPr>
          <w:rFonts w:ascii="Calibri" w:hAnsi="Calibri"/>
          <w:b/>
          <w:noProof/>
          <w:szCs w:val="22"/>
        </w:rPr>
      </w:pPr>
      <w:r>
        <w:rPr>
          <w:rFonts w:ascii="Calibri" w:hAnsi="Calibri"/>
          <w:b/>
          <w:noProof/>
          <w:szCs w:val="22"/>
        </w:rPr>
        <w:t xml:space="preserve">Wybrane dane finansowe </w:t>
      </w:r>
    </w:p>
    <w:p w:rsidR="00247D11" w:rsidRDefault="00E95E8B" w:rsidP="00DF5F51">
      <w:pPr>
        <w:rPr>
          <w:rFonts w:ascii="Calibri" w:hAnsi="Calibri"/>
          <w:noProof/>
          <w:szCs w:val="22"/>
        </w:rPr>
      </w:pPr>
      <w:r w:rsidRPr="00247D11">
        <w:rPr>
          <w:noProof/>
        </w:rPr>
        <w:drawing>
          <wp:anchor distT="0" distB="0" distL="114300" distR="114300" simplePos="0" relativeHeight="251658240" behindDoc="1" locked="0" layoutInCell="1" allowOverlap="1" wp14:anchorId="0CC2B00D" wp14:editId="23E89214">
            <wp:simplePos x="0" y="0"/>
            <wp:positionH relativeFrom="column">
              <wp:posOffset>635</wp:posOffset>
            </wp:positionH>
            <wp:positionV relativeFrom="paragraph">
              <wp:posOffset>72390</wp:posOffset>
            </wp:positionV>
            <wp:extent cx="5904230" cy="1555115"/>
            <wp:effectExtent l="0" t="0" r="1270" b="6985"/>
            <wp:wrapTight wrapText="bothSides">
              <wp:wrapPolygon edited="0">
                <wp:start x="8293" y="529"/>
                <wp:lineTo x="0" y="4763"/>
                <wp:lineTo x="0" y="21432"/>
                <wp:lineTo x="7248" y="21432"/>
                <wp:lineTo x="21326" y="21168"/>
                <wp:lineTo x="21396" y="19580"/>
                <wp:lineTo x="10802" y="17993"/>
                <wp:lineTo x="18678" y="17993"/>
                <wp:lineTo x="21396" y="16934"/>
                <wp:lineTo x="21535" y="1323"/>
                <wp:lineTo x="21117" y="529"/>
                <wp:lineTo x="8293" y="529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D11">
        <w:rPr>
          <w:rFonts w:ascii="Calibri" w:hAnsi="Calibri"/>
          <w:noProof/>
          <w:szCs w:val="22"/>
        </w:rPr>
        <w:t>[tys. PLN]</w:t>
      </w:r>
    </w:p>
    <w:p w:rsidR="00317B6E" w:rsidRDefault="00317B6E" w:rsidP="00DF5F51">
      <w:pPr>
        <w:rPr>
          <w:rFonts w:ascii="Calibri" w:hAnsi="Calibri"/>
          <w:noProof/>
          <w:szCs w:val="22"/>
        </w:rPr>
      </w:pPr>
    </w:p>
    <w:p w:rsidR="00317B6E" w:rsidRPr="00317B6E" w:rsidRDefault="00317B6E" w:rsidP="00317B6E">
      <w:pPr>
        <w:jc w:val="both"/>
        <w:rPr>
          <w:rFonts w:ascii="Calibri" w:hAnsi="Calibri"/>
          <w:noProof/>
          <w:sz w:val="22"/>
          <w:szCs w:val="22"/>
        </w:rPr>
      </w:pPr>
      <w:r w:rsidRPr="00317B6E">
        <w:rPr>
          <w:rFonts w:ascii="Calibri" w:hAnsi="Calibri"/>
          <w:noProof/>
          <w:sz w:val="22"/>
          <w:szCs w:val="22"/>
        </w:rPr>
        <w:t xml:space="preserve">Pełne dane finansowe oraz skrócone sprawozdania finansowe wraz z komentarzem Zarządu LUG S.A. znajdują się w Raporcie okresowym za IV kwartał 2015 roku dostępnym na </w:t>
      </w:r>
      <w:hyperlink r:id="rId10" w:history="1">
        <w:r w:rsidRPr="00317B6E">
          <w:rPr>
            <w:rStyle w:val="Hipercze"/>
            <w:rFonts w:ascii="Calibri" w:hAnsi="Calibri"/>
            <w:noProof/>
            <w:sz w:val="22"/>
            <w:szCs w:val="22"/>
          </w:rPr>
          <w:t>www.lug.com.pl</w:t>
        </w:r>
      </w:hyperlink>
    </w:p>
    <w:p w:rsidR="00317B6E" w:rsidRDefault="00317B6E" w:rsidP="00DF5F51">
      <w:pPr>
        <w:rPr>
          <w:rFonts w:ascii="Calibri" w:hAnsi="Calibri"/>
          <w:noProof/>
          <w:szCs w:val="22"/>
        </w:rPr>
      </w:pPr>
    </w:p>
    <w:p w:rsidR="00317B6E" w:rsidRDefault="00317B6E" w:rsidP="00DF5F51">
      <w:pPr>
        <w:rPr>
          <w:rFonts w:ascii="Calibri" w:hAnsi="Calibri"/>
          <w:noProof/>
          <w:szCs w:val="22"/>
        </w:rPr>
      </w:pPr>
    </w:p>
    <w:p w:rsidR="00247D11" w:rsidRPr="00E95E8B" w:rsidRDefault="00247D11" w:rsidP="00247D11">
      <w:pPr>
        <w:pStyle w:val="Text"/>
        <w:spacing w:after="0" w:line="240" w:lineRule="auto"/>
        <w:jc w:val="both"/>
        <w:rPr>
          <w:rFonts w:asciiTheme="minorHAnsi" w:hAnsiTheme="minorHAnsi" w:cs="Tahoma"/>
          <w:bCs/>
          <w:sz w:val="22"/>
          <w:szCs w:val="24"/>
        </w:rPr>
      </w:pPr>
      <w:r w:rsidRPr="00E95E8B">
        <w:rPr>
          <w:rFonts w:asciiTheme="minorHAnsi" w:hAnsiTheme="minorHAnsi" w:cs="Tahoma"/>
          <w:b/>
          <w:bCs/>
          <w:sz w:val="22"/>
          <w:szCs w:val="24"/>
        </w:rPr>
        <w:t xml:space="preserve">LUG S.A. </w:t>
      </w:r>
      <w:r w:rsidRPr="00E95E8B">
        <w:rPr>
          <w:rFonts w:asciiTheme="minorHAnsi" w:hAnsiTheme="minorHAnsi" w:cs="Tahoma"/>
          <w:bCs/>
          <w:sz w:val="22"/>
          <w:szCs w:val="24"/>
        </w:rPr>
        <w:t xml:space="preserve">to spółka holdingowa Grupy Kapitałowej LUG S.A. – jednego z czołowych europejskich producentów profesjonalnych rozwiązań oświetleniowych. Grupa sprzedaje swoje produkty w Polsce oraz w kilkudziesięciu krajach na całym świecie. Posiadająca 26 lat doświadczenia firma z siedzibą w Zielonej Górze, od 2008 roku funkcjonuje jako Grupa Kapitałowa. W jej skład wchodzą: LUG S.A., LUG </w:t>
      </w:r>
      <w:proofErr w:type="spellStart"/>
      <w:r w:rsidRPr="00E95E8B">
        <w:rPr>
          <w:rFonts w:asciiTheme="minorHAnsi" w:hAnsiTheme="minorHAnsi" w:cs="Tahoma"/>
          <w:bCs/>
          <w:sz w:val="22"/>
          <w:szCs w:val="24"/>
        </w:rPr>
        <w:t>Light</w:t>
      </w:r>
      <w:proofErr w:type="spellEnd"/>
      <w:r w:rsidRPr="00E95E8B">
        <w:rPr>
          <w:rFonts w:asciiTheme="minorHAnsi" w:hAnsiTheme="minorHAnsi" w:cs="Tahoma"/>
          <w:bCs/>
          <w:sz w:val="22"/>
          <w:szCs w:val="24"/>
        </w:rPr>
        <w:t xml:space="preserve"> </w:t>
      </w:r>
      <w:proofErr w:type="spellStart"/>
      <w:r w:rsidRPr="00E95E8B">
        <w:rPr>
          <w:rFonts w:asciiTheme="minorHAnsi" w:hAnsiTheme="minorHAnsi" w:cs="Tahoma"/>
          <w:bCs/>
          <w:sz w:val="22"/>
          <w:szCs w:val="24"/>
        </w:rPr>
        <w:t>Factory</w:t>
      </w:r>
      <w:proofErr w:type="spellEnd"/>
      <w:r w:rsidRPr="00E95E8B">
        <w:rPr>
          <w:rFonts w:asciiTheme="minorHAnsi" w:hAnsiTheme="minorHAnsi" w:cs="Tahoma"/>
          <w:bCs/>
          <w:sz w:val="22"/>
          <w:szCs w:val="24"/>
        </w:rPr>
        <w:t xml:space="preserve"> Sp. z o.o., LUG GmbH, LUG do </w:t>
      </w:r>
      <w:proofErr w:type="spellStart"/>
      <w:r w:rsidRPr="00E95E8B">
        <w:rPr>
          <w:rFonts w:asciiTheme="minorHAnsi" w:hAnsiTheme="minorHAnsi" w:cs="Tahoma"/>
          <w:bCs/>
          <w:sz w:val="22"/>
          <w:szCs w:val="24"/>
        </w:rPr>
        <w:t>Brazil</w:t>
      </w:r>
      <w:proofErr w:type="spellEnd"/>
      <w:r w:rsidRPr="00E95E8B">
        <w:rPr>
          <w:rFonts w:asciiTheme="minorHAnsi" w:hAnsiTheme="minorHAnsi" w:cs="Tahoma"/>
          <w:bCs/>
          <w:sz w:val="22"/>
          <w:szCs w:val="24"/>
        </w:rPr>
        <w:t xml:space="preserve"> </w:t>
      </w:r>
      <w:proofErr w:type="spellStart"/>
      <w:r w:rsidRPr="00E95E8B">
        <w:rPr>
          <w:rFonts w:asciiTheme="minorHAnsi" w:hAnsiTheme="minorHAnsi" w:cs="Tahoma"/>
          <w:bCs/>
          <w:sz w:val="22"/>
          <w:szCs w:val="24"/>
        </w:rPr>
        <w:t>Ltda</w:t>
      </w:r>
      <w:proofErr w:type="spellEnd"/>
      <w:r w:rsidRPr="00E95E8B">
        <w:rPr>
          <w:rFonts w:asciiTheme="minorHAnsi" w:hAnsiTheme="minorHAnsi" w:cs="Tahoma"/>
          <w:bCs/>
          <w:sz w:val="22"/>
          <w:szCs w:val="24"/>
        </w:rPr>
        <w:t xml:space="preserve">, LUG </w:t>
      </w:r>
      <w:proofErr w:type="spellStart"/>
      <w:r w:rsidRPr="00E95E8B">
        <w:rPr>
          <w:rFonts w:asciiTheme="minorHAnsi" w:hAnsiTheme="minorHAnsi" w:cs="Tahoma"/>
          <w:bCs/>
          <w:sz w:val="22"/>
          <w:szCs w:val="24"/>
        </w:rPr>
        <w:t>Lighting</w:t>
      </w:r>
      <w:proofErr w:type="spellEnd"/>
      <w:r w:rsidRPr="00E95E8B">
        <w:rPr>
          <w:rFonts w:asciiTheme="minorHAnsi" w:hAnsiTheme="minorHAnsi" w:cs="Tahoma"/>
          <w:bCs/>
          <w:sz w:val="22"/>
          <w:szCs w:val="24"/>
        </w:rPr>
        <w:t xml:space="preserve"> UK Ltd.  oraz TOW LUG Ukraina. LUG S.A. od listopada 2007 roku jest notowana na rynku </w:t>
      </w:r>
      <w:proofErr w:type="spellStart"/>
      <w:r w:rsidRPr="00E95E8B">
        <w:rPr>
          <w:rFonts w:asciiTheme="minorHAnsi" w:hAnsiTheme="minorHAnsi" w:cs="Tahoma"/>
          <w:bCs/>
          <w:sz w:val="22"/>
          <w:szCs w:val="24"/>
        </w:rPr>
        <w:t>NewConnect</w:t>
      </w:r>
      <w:proofErr w:type="spellEnd"/>
      <w:r w:rsidRPr="00E95E8B">
        <w:rPr>
          <w:rFonts w:asciiTheme="minorHAnsi" w:hAnsiTheme="minorHAnsi" w:cs="Tahoma"/>
          <w:bCs/>
          <w:sz w:val="22"/>
          <w:szCs w:val="24"/>
        </w:rPr>
        <w:t xml:space="preserve"> zarządzanym przez warszawską GPW. Więcej informacji: </w:t>
      </w:r>
      <w:hyperlink r:id="rId11" w:history="1">
        <w:r w:rsidRPr="00E95E8B">
          <w:rPr>
            <w:rStyle w:val="Hipercze"/>
            <w:rFonts w:asciiTheme="minorHAnsi" w:hAnsiTheme="minorHAnsi" w:cs="Tahoma"/>
            <w:bCs/>
            <w:sz w:val="22"/>
            <w:szCs w:val="24"/>
          </w:rPr>
          <w:t>www.lug.com.pl</w:t>
        </w:r>
      </w:hyperlink>
    </w:p>
    <w:p w:rsidR="00247D11" w:rsidRDefault="00247D11" w:rsidP="00DF5F51">
      <w:pPr>
        <w:rPr>
          <w:rFonts w:ascii="Calibri" w:hAnsi="Calibri"/>
          <w:noProof/>
          <w:szCs w:val="22"/>
        </w:rPr>
      </w:pPr>
    </w:p>
    <w:p w:rsidR="00317B6E" w:rsidRPr="00247D11" w:rsidRDefault="00317B6E" w:rsidP="00DF5F51">
      <w:pPr>
        <w:rPr>
          <w:rFonts w:ascii="Calibri" w:hAnsi="Calibri"/>
          <w:noProof/>
          <w:szCs w:val="22"/>
        </w:rPr>
      </w:pPr>
    </w:p>
    <w:p w:rsidR="00247D11" w:rsidRDefault="00317B6E" w:rsidP="00DF5F51">
      <w:pPr>
        <w:rPr>
          <w:rFonts w:ascii="Calibri" w:hAnsi="Calibri"/>
          <w:b/>
          <w:szCs w:val="22"/>
        </w:rPr>
      </w:pPr>
      <w:r w:rsidRPr="00317B6E">
        <w:rPr>
          <w:rFonts w:ascii="Calibri" w:hAnsi="Calibri"/>
          <w:b/>
          <w:szCs w:val="22"/>
        </w:rPr>
        <w:t>Kontakt</w:t>
      </w:r>
      <w:r>
        <w:rPr>
          <w:rFonts w:ascii="Calibri" w:hAnsi="Calibri"/>
          <w:b/>
          <w:szCs w:val="22"/>
        </w:rPr>
        <w:t xml:space="preserve"> dla mediów i inwestorów</w:t>
      </w:r>
      <w:r w:rsidRPr="00317B6E">
        <w:rPr>
          <w:rFonts w:ascii="Calibri" w:hAnsi="Calibri"/>
          <w:b/>
          <w:szCs w:val="22"/>
        </w:rPr>
        <w:t>:</w:t>
      </w:r>
    </w:p>
    <w:p w:rsidR="00317B6E" w:rsidRDefault="00317B6E" w:rsidP="00DF5F51">
      <w:pPr>
        <w:rPr>
          <w:rFonts w:ascii="Calibri" w:hAnsi="Calibri"/>
          <w:szCs w:val="22"/>
        </w:rPr>
      </w:pPr>
    </w:p>
    <w:p w:rsidR="00317B6E" w:rsidRPr="00317B6E" w:rsidRDefault="00317B6E" w:rsidP="00DF5F51">
      <w:pPr>
        <w:rPr>
          <w:rFonts w:ascii="Calibri" w:hAnsi="Calibri"/>
          <w:b/>
          <w:szCs w:val="22"/>
        </w:rPr>
      </w:pPr>
      <w:r w:rsidRPr="00317B6E">
        <w:rPr>
          <w:rFonts w:ascii="Calibri" w:hAnsi="Calibri"/>
          <w:b/>
          <w:szCs w:val="22"/>
        </w:rPr>
        <w:t xml:space="preserve">Monika </w:t>
      </w:r>
      <w:proofErr w:type="spellStart"/>
      <w:r w:rsidRPr="00317B6E">
        <w:rPr>
          <w:rFonts w:ascii="Calibri" w:hAnsi="Calibri"/>
          <w:b/>
          <w:szCs w:val="22"/>
        </w:rPr>
        <w:t>Bartoszak</w:t>
      </w:r>
      <w:proofErr w:type="spellEnd"/>
    </w:p>
    <w:p w:rsidR="00317B6E" w:rsidRDefault="00317B6E" w:rsidP="00DF5F51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+48 510 183 993</w:t>
      </w:r>
    </w:p>
    <w:p w:rsidR="00317B6E" w:rsidRDefault="00B04E7C" w:rsidP="00317B6E">
      <w:pPr>
        <w:rPr>
          <w:rFonts w:ascii="Calibri" w:hAnsi="Calibri"/>
          <w:szCs w:val="22"/>
        </w:rPr>
      </w:pPr>
      <w:hyperlink r:id="rId12" w:history="1">
        <w:r w:rsidR="00317B6E" w:rsidRPr="00CF1C1D">
          <w:rPr>
            <w:rStyle w:val="Hipercze"/>
            <w:rFonts w:ascii="Calibri" w:hAnsi="Calibri"/>
            <w:szCs w:val="22"/>
          </w:rPr>
          <w:t>monika.bartoszak@lug.com.pl</w:t>
        </w:r>
      </w:hyperlink>
    </w:p>
    <w:p w:rsidR="00317B6E" w:rsidRDefault="00B04E7C" w:rsidP="00DF5F51">
      <w:pPr>
        <w:rPr>
          <w:rFonts w:ascii="Calibri" w:hAnsi="Calibri"/>
          <w:szCs w:val="22"/>
        </w:rPr>
      </w:pPr>
      <w:hyperlink r:id="rId13" w:history="1">
        <w:r w:rsidR="00317B6E" w:rsidRPr="00CF1C1D">
          <w:rPr>
            <w:rStyle w:val="Hipercze"/>
            <w:rFonts w:ascii="Calibri" w:hAnsi="Calibri"/>
            <w:szCs w:val="22"/>
          </w:rPr>
          <w:t>relacje@lug.com.pl</w:t>
        </w:r>
      </w:hyperlink>
    </w:p>
    <w:p w:rsidR="00317B6E" w:rsidRPr="00317B6E" w:rsidRDefault="00317B6E" w:rsidP="00DF5F51">
      <w:pPr>
        <w:rPr>
          <w:rFonts w:ascii="Calibri" w:hAnsi="Calibri"/>
          <w:szCs w:val="22"/>
        </w:rPr>
      </w:pPr>
    </w:p>
    <w:p w:rsidR="00317B6E" w:rsidRDefault="00317B6E" w:rsidP="0021240B">
      <w:pPr>
        <w:jc w:val="both"/>
        <w:rPr>
          <w:rFonts w:asciiTheme="minorHAnsi" w:hAnsiTheme="minorHAnsi"/>
          <w:b/>
          <w:szCs w:val="22"/>
        </w:rPr>
      </w:pPr>
    </w:p>
    <w:p w:rsidR="00B20D15" w:rsidRPr="00262876" w:rsidRDefault="00B20D15" w:rsidP="0021240B">
      <w:pPr>
        <w:jc w:val="both"/>
        <w:rPr>
          <w:rFonts w:asciiTheme="minorHAnsi" w:hAnsiTheme="minorHAnsi"/>
          <w:sz w:val="20"/>
          <w:szCs w:val="22"/>
        </w:rPr>
      </w:pPr>
    </w:p>
    <w:p w:rsidR="000F0201" w:rsidRDefault="000F0201" w:rsidP="0021240B">
      <w:pPr>
        <w:jc w:val="both"/>
        <w:rPr>
          <w:rFonts w:ascii="Calibri" w:hAnsi="Calibri"/>
          <w:sz w:val="22"/>
          <w:szCs w:val="22"/>
        </w:rPr>
      </w:pPr>
    </w:p>
    <w:p w:rsidR="00E2706C" w:rsidRDefault="00E2706C" w:rsidP="0021240B">
      <w:pPr>
        <w:jc w:val="both"/>
        <w:rPr>
          <w:rFonts w:ascii="Calibri" w:hAnsi="Calibri"/>
          <w:sz w:val="22"/>
          <w:szCs w:val="22"/>
        </w:rPr>
      </w:pPr>
    </w:p>
    <w:p w:rsidR="00E2706C" w:rsidRDefault="00E2706C" w:rsidP="0021240B">
      <w:pPr>
        <w:jc w:val="both"/>
        <w:rPr>
          <w:rFonts w:ascii="Calibri" w:hAnsi="Calibri"/>
          <w:sz w:val="22"/>
          <w:szCs w:val="22"/>
        </w:rPr>
      </w:pPr>
    </w:p>
    <w:p w:rsidR="00006765" w:rsidRDefault="00006765" w:rsidP="0021240B">
      <w:pPr>
        <w:jc w:val="both"/>
        <w:rPr>
          <w:rFonts w:ascii="Calibri" w:hAnsi="Calibri"/>
          <w:sz w:val="22"/>
          <w:szCs w:val="22"/>
        </w:rPr>
      </w:pPr>
    </w:p>
    <w:p w:rsidR="00262876" w:rsidRDefault="00262876" w:rsidP="00D2390D">
      <w:pPr>
        <w:pStyle w:val="Text"/>
        <w:spacing w:after="0" w:line="276" w:lineRule="auto"/>
        <w:jc w:val="both"/>
        <w:rPr>
          <w:rFonts w:ascii="Calibri" w:hAnsi="Calibri" w:cs="Tahoma"/>
          <w:b/>
          <w:bCs/>
          <w:sz w:val="20"/>
          <w:szCs w:val="20"/>
        </w:rPr>
      </w:pPr>
    </w:p>
    <w:p w:rsidR="002F1F4B" w:rsidRDefault="002F1F4B" w:rsidP="00DF5F51">
      <w:pPr>
        <w:rPr>
          <w:rFonts w:ascii="Calibri" w:hAnsi="Calibri"/>
          <w:sz w:val="22"/>
          <w:szCs w:val="22"/>
        </w:rPr>
      </w:pPr>
    </w:p>
    <w:p w:rsidR="003B030B" w:rsidRDefault="003B030B" w:rsidP="00DF5F51">
      <w:pPr>
        <w:rPr>
          <w:rFonts w:ascii="Calibri" w:hAnsi="Calibri"/>
          <w:b/>
          <w:sz w:val="28"/>
          <w:szCs w:val="22"/>
        </w:rPr>
      </w:pPr>
    </w:p>
    <w:p w:rsidR="00803F08" w:rsidRPr="003B030B" w:rsidRDefault="00803F08" w:rsidP="00DF5F51">
      <w:pPr>
        <w:rPr>
          <w:rFonts w:ascii="Calibri" w:hAnsi="Calibri"/>
          <w:sz w:val="28"/>
          <w:szCs w:val="22"/>
        </w:rPr>
      </w:pPr>
    </w:p>
    <w:sectPr w:rsidR="00803F08" w:rsidRPr="003B030B" w:rsidSect="0012404D">
      <w:headerReference w:type="default" r:id="rId14"/>
      <w:footerReference w:type="default" r:id="rId15"/>
      <w:pgSz w:w="11906" w:h="16838" w:code="9"/>
      <w:pgMar w:top="1418" w:right="1304" w:bottom="1418" w:left="1304" w:header="107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7C" w:rsidRDefault="00B04E7C">
      <w:r>
        <w:separator/>
      </w:r>
    </w:p>
  </w:endnote>
  <w:endnote w:type="continuationSeparator" w:id="0">
    <w:p w:rsidR="00B04E7C" w:rsidRDefault="00B0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l">
    <w:altName w:val="Courier New"/>
    <w:charset w:val="EE"/>
    <w:family w:val="auto"/>
    <w:pitch w:val="variable"/>
    <w:sig w:usb0="00000001" w:usb1="0000004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B1" w:rsidRPr="001000FF" w:rsidRDefault="00CF47ED">
    <w:pPr>
      <w:pStyle w:val="Stopka"/>
    </w:pPr>
    <w:r>
      <w:rPr>
        <w:noProof/>
      </w:rPr>
      <w:drawing>
        <wp:inline distT="0" distB="0" distL="0" distR="0">
          <wp:extent cx="5924550" cy="581025"/>
          <wp:effectExtent l="0" t="0" r="0" b="9525"/>
          <wp:docPr id="2" name="Obraz 2" descr="Kopia_zapasowa_LUG papier firmowy_light fa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_zapasowa_LUG papier firmowy_light fa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7C" w:rsidRDefault="00B04E7C">
      <w:r>
        <w:separator/>
      </w:r>
    </w:p>
  </w:footnote>
  <w:footnote w:type="continuationSeparator" w:id="0">
    <w:p w:rsidR="00B04E7C" w:rsidRDefault="00B04E7C">
      <w:r>
        <w:continuationSeparator/>
      </w:r>
    </w:p>
  </w:footnote>
  <w:footnote w:id="1">
    <w:p w:rsidR="003F23F4" w:rsidRPr="005A788E" w:rsidRDefault="003F23F4" w:rsidP="003F23F4">
      <w:pPr>
        <w:pStyle w:val="Default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5A788E">
        <w:rPr>
          <w:rFonts w:asciiTheme="minorHAnsi" w:hAnsiTheme="minorHAnsi" w:cs="Arial"/>
          <w:sz w:val="18"/>
          <w:szCs w:val="60"/>
        </w:rPr>
        <w:t xml:space="preserve">Deloitte CFO </w:t>
      </w:r>
      <w:proofErr w:type="spellStart"/>
      <w:r w:rsidRPr="005A788E">
        <w:rPr>
          <w:rFonts w:asciiTheme="minorHAnsi" w:hAnsiTheme="minorHAnsi" w:cs="Arial"/>
          <w:sz w:val="18"/>
          <w:szCs w:val="60"/>
        </w:rPr>
        <w:t>Survey</w:t>
      </w:r>
      <w:proofErr w:type="spellEnd"/>
      <w:r w:rsidRPr="005A788E">
        <w:rPr>
          <w:rFonts w:asciiTheme="minorHAnsi" w:hAnsiTheme="minorHAnsi" w:cs="Arial"/>
          <w:sz w:val="18"/>
          <w:szCs w:val="60"/>
        </w:rPr>
        <w:t xml:space="preserve"> 2015 H2</w:t>
      </w:r>
      <w:r>
        <w:rPr>
          <w:rFonts w:asciiTheme="minorHAnsi" w:hAnsiTheme="minorHAnsi" w:cs="Arial"/>
          <w:sz w:val="18"/>
          <w:szCs w:val="60"/>
        </w:rPr>
        <w:t>, „</w:t>
      </w:r>
      <w:r w:rsidRPr="005A788E">
        <w:rPr>
          <w:rFonts w:asciiTheme="minorHAnsi" w:hAnsiTheme="minorHAnsi" w:cs="Arial"/>
          <w:sz w:val="18"/>
          <w:szCs w:val="18"/>
        </w:rPr>
        <w:t>Dobre prognozy dla polskiej gospodarki na rok 2016</w:t>
      </w:r>
      <w:r>
        <w:rPr>
          <w:rFonts w:asciiTheme="minorHAnsi" w:hAnsiTheme="minorHAnsi" w:cs="Arial"/>
          <w:sz w:val="18"/>
          <w:szCs w:val="18"/>
        </w:rP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81" w:rsidRPr="00A83E2A" w:rsidRDefault="00CF47ED">
    <w:pPr>
      <w:pStyle w:val="Nagwek"/>
    </w:pPr>
    <w:r>
      <w:rPr>
        <w:noProof/>
      </w:rPr>
      <w:drawing>
        <wp:inline distT="0" distB="0" distL="0" distR="0">
          <wp:extent cx="5943600" cy="552450"/>
          <wp:effectExtent l="0" t="0" r="0" b="0"/>
          <wp:docPr id="1" name="Obraz 1" descr="nagłówek_lug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_lug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E2A">
      <w:t xml:space="preserve"> </w:t>
    </w:r>
    <w:r w:rsidR="005B1722">
      <w:t xml:space="preserve">        </w:t>
    </w:r>
  </w:p>
  <w:p w:rsidR="00B30281" w:rsidRPr="007858B1" w:rsidRDefault="00B30281">
    <w:pPr>
      <w:pStyle w:val="Nagwek"/>
      <w:rPr>
        <w:rFonts w:ascii="DINPl" w:hAnsi="DINPl"/>
      </w:rPr>
    </w:pPr>
    <w:r>
      <w:t xml:space="preserve">   </w:t>
    </w:r>
    <w:r w:rsidR="007858B1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73BC"/>
    <w:multiLevelType w:val="hybridMultilevel"/>
    <w:tmpl w:val="A7D63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F643A"/>
    <w:multiLevelType w:val="hybridMultilevel"/>
    <w:tmpl w:val="A68CC01A"/>
    <w:lvl w:ilvl="0" w:tplc="769220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20085D42">
      <w:start w:val="1"/>
      <w:numFmt w:val="lowerLetter"/>
      <w:lvlText w:val="%2."/>
      <w:lvlJc w:val="left"/>
      <w:pPr>
        <w:ind w:left="249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A8750BC"/>
    <w:multiLevelType w:val="hybridMultilevel"/>
    <w:tmpl w:val="288E4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5202E"/>
    <w:multiLevelType w:val="hybridMultilevel"/>
    <w:tmpl w:val="F886E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57DD9"/>
    <w:multiLevelType w:val="hybridMultilevel"/>
    <w:tmpl w:val="6588AF42"/>
    <w:lvl w:ilvl="0" w:tplc="DB76ED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46707"/>
    <w:multiLevelType w:val="hybridMultilevel"/>
    <w:tmpl w:val="BD341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8E"/>
    <w:rsid w:val="00005541"/>
    <w:rsid w:val="00006765"/>
    <w:rsid w:val="00055E7D"/>
    <w:rsid w:val="000642FA"/>
    <w:rsid w:val="00070395"/>
    <w:rsid w:val="000821FE"/>
    <w:rsid w:val="000C341D"/>
    <w:rsid w:val="000F0201"/>
    <w:rsid w:val="001000FF"/>
    <w:rsid w:val="00122D1E"/>
    <w:rsid w:val="0012404D"/>
    <w:rsid w:val="00124B17"/>
    <w:rsid w:val="001B34CA"/>
    <w:rsid w:val="001D0402"/>
    <w:rsid w:val="0021240B"/>
    <w:rsid w:val="00220A66"/>
    <w:rsid w:val="00245355"/>
    <w:rsid w:val="00247D11"/>
    <w:rsid w:val="002515FF"/>
    <w:rsid w:val="00262876"/>
    <w:rsid w:val="00284FD0"/>
    <w:rsid w:val="002942A2"/>
    <w:rsid w:val="002A7D41"/>
    <w:rsid w:val="002B0413"/>
    <w:rsid w:val="002F1F4B"/>
    <w:rsid w:val="00317B6E"/>
    <w:rsid w:val="00334FB5"/>
    <w:rsid w:val="00346F57"/>
    <w:rsid w:val="003517A2"/>
    <w:rsid w:val="00363E52"/>
    <w:rsid w:val="003652F4"/>
    <w:rsid w:val="00380E61"/>
    <w:rsid w:val="003B030B"/>
    <w:rsid w:val="003E4A26"/>
    <w:rsid w:val="003F23F4"/>
    <w:rsid w:val="004414C7"/>
    <w:rsid w:val="00454A31"/>
    <w:rsid w:val="00531831"/>
    <w:rsid w:val="005766D8"/>
    <w:rsid w:val="00596088"/>
    <w:rsid w:val="005B1722"/>
    <w:rsid w:val="005F766A"/>
    <w:rsid w:val="005F792F"/>
    <w:rsid w:val="006217BE"/>
    <w:rsid w:val="00655997"/>
    <w:rsid w:val="006945E8"/>
    <w:rsid w:val="006A44D3"/>
    <w:rsid w:val="006D4AE3"/>
    <w:rsid w:val="00711192"/>
    <w:rsid w:val="00763BF0"/>
    <w:rsid w:val="00770619"/>
    <w:rsid w:val="007858B1"/>
    <w:rsid w:val="007B2AD5"/>
    <w:rsid w:val="007C4322"/>
    <w:rsid w:val="007D2789"/>
    <w:rsid w:val="007F64A8"/>
    <w:rsid w:val="00803F08"/>
    <w:rsid w:val="00804521"/>
    <w:rsid w:val="00830F20"/>
    <w:rsid w:val="00857013"/>
    <w:rsid w:val="008A2022"/>
    <w:rsid w:val="008B35AA"/>
    <w:rsid w:val="00935224"/>
    <w:rsid w:val="00962956"/>
    <w:rsid w:val="009925F8"/>
    <w:rsid w:val="00A00411"/>
    <w:rsid w:val="00A060DB"/>
    <w:rsid w:val="00A83E2A"/>
    <w:rsid w:val="00A955BD"/>
    <w:rsid w:val="00AD031A"/>
    <w:rsid w:val="00AE457F"/>
    <w:rsid w:val="00B04E7C"/>
    <w:rsid w:val="00B15E8C"/>
    <w:rsid w:val="00B20D15"/>
    <w:rsid w:val="00B30281"/>
    <w:rsid w:val="00B77EA1"/>
    <w:rsid w:val="00BE580E"/>
    <w:rsid w:val="00C02204"/>
    <w:rsid w:val="00C44584"/>
    <w:rsid w:val="00C55A35"/>
    <w:rsid w:val="00CD36E9"/>
    <w:rsid w:val="00CE3245"/>
    <w:rsid w:val="00CF47ED"/>
    <w:rsid w:val="00D2390D"/>
    <w:rsid w:val="00D34946"/>
    <w:rsid w:val="00D444D8"/>
    <w:rsid w:val="00D47BF0"/>
    <w:rsid w:val="00D5748E"/>
    <w:rsid w:val="00D72FA5"/>
    <w:rsid w:val="00DF5F51"/>
    <w:rsid w:val="00E2706C"/>
    <w:rsid w:val="00E93A15"/>
    <w:rsid w:val="00E95E8B"/>
    <w:rsid w:val="00EE36C2"/>
    <w:rsid w:val="00F1031D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02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02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0281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E93A1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E32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E3245"/>
    <w:pPr>
      <w:spacing w:before="100" w:beforeAutospacing="1" w:after="100" w:afterAutospacing="1"/>
    </w:pPr>
  </w:style>
  <w:style w:type="character" w:customStyle="1" w:styleId="dane">
    <w:name w:val="dane"/>
    <w:basedOn w:val="Domylnaczcionkaakapitu"/>
    <w:rsid w:val="00CE32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F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FA5"/>
  </w:style>
  <w:style w:type="character" w:styleId="Odwoanieprzypisukocowego">
    <w:name w:val="endnote reference"/>
    <w:basedOn w:val="Domylnaczcionkaakapitu"/>
    <w:uiPriority w:val="99"/>
    <w:semiHidden/>
    <w:unhideWhenUsed/>
    <w:rsid w:val="00D72FA5"/>
    <w:rPr>
      <w:vertAlign w:val="superscript"/>
    </w:rPr>
  </w:style>
  <w:style w:type="character" w:styleId="Pogrubienie">
    <w:name w:val="Strong"/>
    <w:uiPriority w:val="22"/>
    <w:qFormat/>
    <w:rsid w:val="0021240B"/>
    <w:rPr>
      <w:b/>
      <w:bCs/>
    </w:rPr>
  </w:style>
  <w:style w:type="character" w:customStyle="1" w:styleId="Nagwek1Znak">
    <w:name w:val="Nagłówek 1 Znak"/>
    <w:link w:val="Nagwek1"/>
    <w:rsid w:val="00D2390D"/>
    <w:rPr>
      <w:rFonts w:ascii="Arial" w:hAnsi="Arial" w:cs="Arial"/>
      <w:b/>
      <w:bCs/>
      <w:kern w:val="32"/>
      <w:sz w:val="32"/>
      <w:szCs w:val="32"/>
    </w:rPr>
  </w:style>
  <w:style w:type="character" w:customStyle="1" w:styleId="TextChar">
    <w:name w:val="Text Char"/>
    <w:link w:val="Text"/>
    <w:locked/>
    <w:rsid w:val="00D2390D"/>
    <w:rPr>
      <w:rFonts w:ascii="Century Gothic" w:hAnsi="Century Gothic"/>
      <w:sz w:val="18"/>
      <w:szCs w:val="18"/>
      <w:lang w:bidi="pl-PL"/>
    </w:rPr>
  </w:style>
  <w:style w:type="paragraph" w:customStyle="1" w:styleId="Text">
    <w:name w:val="Text"/>
    <w:basedOn w:val="Normalny"/>
    <w:link w:val="TextChar"/>
    <w:rsid w:val="00D2390D"/>
    <w:pPr>
      <w:spacing w:after="220" w:line="336" w:lineRule="auto"/>
    </w:pPr>
    <w:rPr>
      <w:rFonts w:ascii="Century Gothic" w:hAnsi="Century Gothic"/>
      <w:sz w:val="18"/>
      <w:szCs w:val="18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41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3494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23F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F23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02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02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0281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E93A1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E32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E3245"/>
    <w:pPr>
      <w:spacing w:before="100" w:beforeAutospacing="1" w:after="100" w:afterAutospacing="1"/>
    </w:pPr>
  </w:style>
  <w:style w:type="character" w:customStyle="1" w:styleId="dane">
    <w:name w:val="dane"/>
    <w:basedOn w:val="Domylnaczcionkaakapitu"/>
    <w:rsid w:val="00CE32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F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FA5"/>
  </w:style>
  <w:style w:type="character" w:styleId="Odwoanieprzypisukocowego">
    <w:name w:val="endnote reference"/>
    <w:basedOn w:val="Domylnaczcionkaakapitu"/>
    <w:uiPriority w:val="99"/>
    <w:semiHidden/>
    <w:unhideWhenUsed/>
    <w:rsid w:val="00D72FA5"/>
    <w:rPr>
      <w:vertAlign w:val="superscript"/>
    </w:rPr>
  </w:style>
  <w:style w:type="character" w:styleId="Pogrubienie">
    <w:name w:val="Strong"/>
    <w:uiPriority w:val="22"/>
    <w:qFormat/>
    <w:rsid w:val="0021240B"/>
    <w:rPr>
      <w:b/>
      <w:bCs/>
    </w:rPr>
  </w:style>
  <w:style w:type="character" w:customStyle="1" w:styleId="Nagwek1Znak">
    <w:name w:val="Nagłówek 1 Znak"/>
    <w:link w:val="Nagwek1"/>
    <w:rsid w:val="00D2390D"/>
    <w:rPr>
      <w:rFonts w:ascii="Arial" w:hAnsi="Arial" w:cs="Arial"/>
      <w:b/>
      <w:bCs/>
      <w:kern w:val="32"/>
      <w:sz w:val="32"/>
      <w:szCs w:val="32"/>
    </w:rPr>
  </w:style>
  <w:style w:type="character" w:customStyle="1" w:styleId="TextChar">
    <w:name w:val="Text Char"/>
    <w:link w:val="Text"/>
    <w:locked/>
    <w:rsid w:val="00D2390D"/>
    <w:rPr>
      <w:rFonts w:ascii="Century Gothic" w:hAnsi="Century Gothic"/>
      <w:sz w:val="18"/>
      <w:szCs w:val="18"/>
      <w:lang w:bidi="pl-PL"/>
    </w:rPr>
  </w:style>
  <w:style w:type="paragraph" w:customStyle="1" w:styleId="Text">
    <w:name w:val="Text"/>
    <w:basedOn w:val="Normalny"/>
    <w:link w:val="TextChar"/>
    <w:rsid w:val="00D2390D"/>
    <w:pPr>
      <w:spacing w:after="220" w:line="336" w:lineRule="auto"/>
    </w:pPr>
    <w:rPr>
      <w:rFonts w:ascii="Century Gothic" w:hAnsi="Century Gothic"/>
      <w:sz w:val="18"/>
      <w:szCs w:val="18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41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3494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23F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F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lacje@lug.com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onika.bartoszak@lug.com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ug.com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lug.com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8E04-8ABD-47F6-9106-34486248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lug</Company>
  <LinksUpToDate>false</LinksUpToDate>
  <CharactersWithSpaces>5110</CharactersWithSpaces>
  <SharedDoc>false</SharedDoc>
  <HLinks>
    <vt:vector size="6" baseType="variant">
      <vt:variant>
        <vt:i4>7405606</vt:i4>
      </vt:variant>
      <vt:variant>
        <vt:i4>0</vt:i4>
      </vt:variant>
      <vt:variant>
        <vt:i4>0</vt:i4>
      </vt:variant>
      <vt:variant>
        <vt:i4>5</vt:i4>
      </vt:variant>
      <vt:variant>
        <vt:lpwstr>http://www.lug.com.pl/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Szczesniak</dc:creator>
  <cp:lastModifiedBy>Monika</cp:lastModifiedBy>
  <cp:revision>7</cp:revision>
  <cp:lastPrinted>2011-05-19T12:24:00Z</cp:lastPrinted>
  <dcterms:created xsi:type="dcterms:W3CDTF">2016-01-29T10:54:00Z</dcterms:created>
  <dcterms:modified xsi:type="dcterms:W3CDTF">2016-02-11T16:12:00Z</dcterms:modified>
</cp:coreProperties>
</file>